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5361B" w14:textId="3F33FBB4" w:rsidR="00316157" w:rsidRPr="00EF4A89" w:rsidRDefault="00316157" w:rsidP="00316157">
      <w:pPr>
        <w:rPr>
          <w:rFonts w:ascii="Sto TT" w:hAnsi="Sto TT" w:cs="Arial"/>
          <w:b/>
          <w:bCs/>
          <w:sz w:val="22"/>
          <w:szCs w:val="22"/>
        </w:rPr>
      </w:pPr>
      <w:r w:rsidRPr="005D5075">
        <w:rPr>
          <w:rFonts w:ascii="Sto TT" w:hAnsi="Sto TT"/>
          <w:noProof/>
        </w:rPr>
        <mc:AlternateContent>
          <mc:Choice Requires="wps">
            <w:drawing>
              <wp:anchor distT="0" distB="0" distL="114300" distR="114300" simplePos="0" relativeHeight="251659264" behindDoc="0" locked="0" layoutInCell="1" allowOverlap="1" wp14:anchorId="14A82C7B" wp14:editId="12BF38B0">
                <wp:simplePos x="0" y="0"/>
                <wp:positionH relativeFrom="column">
                  <wp:posOffset>14605</wp:posOffset>
                </wp:positionH>
                <wp:positionV relativeFrom="paragraph">
                  <wp:posOffset>9293225</wp:posOffset>
                </wp:positionV>
                <wp:extent cx="7155497" cy="708791"/>
                <wp:effectExtent l="0" t="0" r="0" b="0"/>
                <wp:wrapNone/>
                <wp:docPr id="53" name="ZoneTexte 52">
                  <a:extLst xmlns:a="http://schemas.openxmlformats.org/drawingml/2006/main">
                    <a:ext uri="{FF2B5EF4-FFF2-40B4-BE49-F238E27FC236}">
                      <a16:creationId xmlns:a16="http://schemas.microsoft.com/office/drawing/2014/main" id="{BF307FDF-4AA3-4E55-8179-BB2922CFE62D}"/>
                    </a:ext>
                  </a:extLst>
                </wp:docPr>
                <wp:cNvGraphicFramePr/>
                <a:graphic xmlns:a="http://schemas.openxmlformats.org/drawingml/2006/main">
                  <a:graphicData uri="http://schemas.microsoft.com/office/word/2010/wordprocessingShape">
                    <wps:wsp>
                      <wps:cNvSpPr txBox="1"/>
                      <wps:spPr>
                        <a:xfrm>
                          <a:off x="0" y="0"/>
                          <a:ext cx="7155497" cy="708791"/>
                        </a:xfrm>
                        <a:prstGeom prst="rect">
                          <a:avLst/>
                        </a:prstGeom>
                        <a:noFill/>
                        <a:ln>
                          <a:noFill/>
                        </a:ln>
                      </wps:spPr>
                      <wps:txbx>
                        <w:txbxContent>
                          <w:p w14:paraId="551F2041" w14:textId="77777777" w:rsidR="00316157" w:rsidRPr="00335B0F" w:rsidRDefault="00316157" w:rsidP="00316157">
                            <w:pPr>
                              <w:rPr>
                                <w:rFonts w:cs="Arial"/>
                                <w:color w:val="000000" w:themeColor="text1"/>
                                <w:kern w:val="24"/>
                              </w:rPr>
                            </w:pPr>
                            <w:r w:rsidRPr="00335B0F">
                              <w:rPr>
                                <w:rFonts w:cs="Arial"/>
                                <w:color w:val="000000" w:themeColor="text1"/>
                                <w:kern w:val="24"/>
                              </w:rPr>
                              <w:t xml:space="preserve">Les plaques StoFibreCement ont un niveau de performance aux chocs Q4 correspondant à des conditions normales d’utilisation en rez-de-chaussée. Pour les </w:t>
                            </w:r>
                            <w:r w:rsidRPr="00335B0F">
                              <w:rPr>
                                <w:rFonts w:cs="Arial"/>
                                <w:b/>
                                <w:bCs/>
                                <w:color w:val="000000" w:themeColor="text1"/>
                                <w:kern w:val="24"/>
                              </w:rPr>
                              <w:t>rez-de-chaussée fortement exposés aux chocs</w:t>
                            </w:r>
                            <w:r w:rsidRPr="00335B0F">
                              <w:rPr>
                                <w:rFonts w:cs="Arial"/>
                                <w:color w:val="000000" w:themeColor="text1"/>
                                <w:kern w:val="24"/>
                              </w:rPr>
                              <w:t xml:space="preserve"> (aires de jeu dans les établissements scolaires, gymnases…), </w:t>
                            </w:r>
                            <w:r w:rsidRPr="00335B0F">
                              <w:rPr>
                                <w:rFonts w:cs="Arial"/>
                                <w:b/>
                                <w:bCs/>
                                <w:color w:val="000000" w:themeColor="text1"/>
                                <w:kern w:val="24"/>
                              </w:rPr>
                              <w:t>ce niveau Q4 est insuffisant au regard de</w:t>
                            </w:r>
                            <w:r>
                              <w:rPr>
                                <w:rFonts w:cs="Arial"/>
                                <w:b/>
                                <w:bCs/>
                                <w:color w:val="000000" w:themeColor="text1"/>
                                <w:kern w:val="24"/>
                              </w:rPr>
                              <w:t xml:space="preserve"> ce</w:t>
                            </w:r>
                            <w:r w:rsidRPr="00335B0F">
                              <w:rPr>
                                <w:rFonts w:cs="Arial"/>
                                <w:b/>
                                <w:bCs/>
                                <w:color w:val="000000" w:themeColor="text1"/>
                                <w:kern w:val="24"/>
                              </w:rPr>
                              <w:t>s contraintes extrêmes</w:t>
                            </w:r>
                            <w:r>
                              <w:rPr>
                                <w:rFonts w:cs="Arial"/>
                                <w:b/>
                                <w:bCs/>
                                <w:color w:val="000000" w:themeColor="text1"/>
                                <w:kern w:val="24"/>
                              </w:rPr>
                              <w:t>.</w:t>
                            </w:r>
                          </w:p>
                        </w:txbxContent>
                      </wps:txbx>
                      <wps:bodyPr wrap="square" rtlCol="0">
                        <a:noAutofit/>
                      </wps:bodyPr>
                    </wps:wsp>
                  </a:graphicData>
                </a:graphic>
              </wp:anchor>
            </w:drawing>
          </mc:Choice>
          <mc:Fallback>
            <w:pict>
              <v:shapetype w14:anchorId="14A82C7B" id="_x0000_t202" coordsize="21600,21600" o:spt="202" path="m,l,21600r21600,l21600,xe">
                <v:stroke joinstyle="miter"/>
                <v:path gradientshapeok="t" o:connecttype="rect"/>
              </v:shapetype>
              <v:shape id="ZoneTexte 52" o:spid="_x0000_s1026" type="#_x0000_t202" style="position:absolute;margin-left:1.15pt;margin-top:731.75pt;width:563.4pt;height:5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" filled="f" stroked="f">
                <v:textbox>
                  <w:txbxContent>
                    <w:p w14:paraId="551F2041" w14:textId="77777777" w:rsidR="00316157" w:rsidRPr="00335B0F" w:rsidRDefault="00316157" w:rsidP="00316157">
                      <w:pPr>
                        <w:rPr>
                          <w:rFonts w:cs="Arial"/>
                          <w:color w:val="000000" w:themeColor="text1"/>
                          <w:kern w:val="24"/>
                        </w:rPr>
                      </w:pPr>
                      <w:r w:rsidRPr="00335B0F">
                        <w:rPr>
                          <w:rFonts w:cs="Arial"/>
                          <w:color w:val="000000" w:themeColor="text1"/>
                          <w:kern w:val="24"/>
                        </w:rPr>
                        <w:t xml:space="preserve">Les plaques StoFibreCement ont un niveau de performance aux chocs Q4 correspondant à des conditions normales d’utilisation en rez-de-chaussée. Pour les </w:t>
                      </w:r>
                      <w:r w:rsidRPr="00335B0F">
                        <w:rPr>
                          <w:rFonts w:cs="Arial"/>
                          <w:b/>
                          <w:bCs/>
                          <w:color w:val="000000" w:themeColor="text1"/>
                          <w:kern w:val="24"/>
                        </w:rPr>
                        <w:t>rez-de-chaussée fortement exposés aux chocs</w:t>
                      </w:r>
                      <w:r w:rsidRPr="00335B0F">
                        <w:rPr>
                          <w:rFonts w:cs="Arial"/>
                          <w:color w:val="000000" w:themeColor="text1"/>
                          <w:kern w:val="24"/>
                        </w:rPr>
                        <w:t xml:space="preserve"> (aires de jeu dans les établissements scolaires, gymnases…), </w:t>
                      </w:r>
                      <w:r w:rsidRPr="00335B0F">
                        <w:rPr>
                          <w:rFonts w:cs="Arial"/>
                          <w:b/>
                          <w:bCs/>
                          <w:color w:val="000000" w:themeColor="text1"/>
                          <w:kern w:val="24"/>
                        </w:rPr>
                        <w:t>ce niveau Q4 est insuffisant au regard de</w:t>
                      </w:r>
                      <w:r>
                        <w:rPr>
                          <w:rFonts w:cs="Arial"/>
                          <w:b/>
                          <w:bCs/>
                          <w:color w:val="000000" w:themeColor="text1"/>
                          <w:kern w:val="24"/>
                        </w:rPr>
                        <w:t xml:space="preserve"> ce</w:t>
                      </w:r>
                      <w:r w:rsidRPr="00335B0F">
                        <w:rPr>
                          <w:rFonts w:cs="Arial"/>
                          <w:b/>
                          <w:bCs/>
                          <w:color w:val="000000" w:themeColor="text1"/>
                          <w:kern w:val="24"/>
                        </w:rPr>
                        <w:t>s contraintes extrêmes</w:t>
                      </w:r>
                      <w:r>
                        <w:rPr>
                          <w:rFonts w:cs="Arial"/>
                          <w:b/>
                          <w:bCs/>
                          <w:color w:val="000000" w:themeColor="text1"/>
                          <w:kern w:val="24"/>
                        </w:rPr>
                        <w:t>.</w:t>
                      </w:r>
                    </w:p>
                  </w:txbxContent>
                </v:textbox>
              </v:shape>
            </w:pict>
          </mc:Fallback>
        </mc:AlternateContent>
      </w:r>
    </w:p>
    <w:p w14:paraId="7C997123" w14:textId="4E8BADBD" w:rsidR="00316157" w:rsidRDefault="00D32488" w:rsidP="00316157">
      <w:pPr>
        <w:spacing w:before="240"/>
        <w:ind w:left="-709" w:right="1"/>
        <w:jc w:val="both"/>
        <w:rPr>
          <w:rFonts w:ascii="Sto TT" w:hAnsi="Sto TT" w:cs="Arial"/>
          <w:b/>
          <w:bCs/>
          <w:sz w:val="18"/>
          <w:szCs w:val="18"/>
        </w:rPr>
      </w:pPr>
      <w:r>
        <w:rPr>
          <w:noProof/>
        </w:rPr>
        <w:drawing>
          <wp:inline distT="0" distB="0" distL="0" distR="0" wp14:anchorId="5A520706" wp14:editId="7F177B9D">
            <wp:extent cx="6121400" cy="7249795"/>
            <wp:effectExtent l="0" t="0" r="0" b="8255"/>
            <wp:docPr id="4619992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1400" cy="7249795"/>
                    </a:xfrm>
                    <a:prstGeom prst="rect">
                      <a:avLst/>
                    </a:prstGeom>
                    <a:noFill/>
                    <a:ln>
                      <a:noFill/>
                    </a:ln>
                  </pic:spPr>
                </pic:pic>
              </a:graphicData>
            </a:graphic>
          </wp:inline>
        </w:drawing>
      </w:r>
    </w:p>
    <w:p w14:paraId="259648EC" w14:textId="77777777" w:rsidR="00316157" w:rsidRDefault="00316157" w:rsidP="00316157">
      <w:pPr>
        <w:spacing w:before="240"/>
        <w:ind w:left="-709" w:right="1"/>
        <w:jc w:val="both"/>
        <w:rPr>
          <w:rFonts w:ascii="Sto TT" w:hAnsi="Sto TT" w:cs="Arial"/>
          <w:b/>
          <w:bCs/>
          <w:sz w:val="18"/>
          <w:szCs w:val="18"/>
        </w:rPr>
      </w:pPr>
    </w:p>
    <w:p w14:paraId="11784D4B" w14:textId="77777777" w:rsidR="00316157" w:rsidRDefault="00316157" w:rsidP="00316157">
      <w:pPr>
        <w:spacing w:before="240"/>
        <w:ind w:right="1"/>
        <w:jc w:val="both"/>
        <w:rPr>
          <w:rFonts w:ascii="Sto TT" w:hAnsi="Sto TT" w:cs="Arial"/>
          <w:b/>
          <w:bCs/>
          <w:sz w:val="18"/>
          <w:szCs w:val="18"/>
        </w:rPr>
      </w:pPr>
    </w:p>
    <w:p w14:paraId="41FBEED5" w14:textId="77777777" w:rsidR="002957FF" w:rsidRDefault="002957FF" w:rsidP="00316157">
      <w:pPr>
        <w:spacing w:before="240"/>
        <w:ind w:right="1"/>
        <w:jc w:val="both"/>
        <w:rPr>
          <w:rFonts w:ascii="Sto TT" w:hAnsi="Sto TT" w:cs="Arial"/>
          <w:b/>
          <w:bCs/>
          <w:sz w:val="18"/>
          <w:szCs w:val="18"/>
        </w:rPr>
      </w:pPr>
    </w:p>
    <w:p w14:paraId="7E7730F7" w14:textId="77777777" w:rsidR="00316157" w:rsidRPr="005D5075" w:rsidRDefault="00316157" w:rsidP="00316157">
      <w:pPr>
        <w:spacing w:before="240"/>
        <w:ind w:left="-709" w:right="1"/>
        <w:jc w:val="both"/>
        <w:rPr>
          <w:rFonts w:ascii="Sto TT" w:hAnsi="Sto TT" w:cs="Arial"/>
          <w:bCs/>
          <w:sz w:val="18"/>
          <w:szCs w:val="18"/>
        </w:rPr>
      </w:pPr>
      <w:r w:rsidRPr="005D5075">
        <w:rPr>
          <w:rFonts w:ascii="Sto TT" w:hAnsi="Sto TT" w:cs="Arial"/>
          <w:b/>
          <w:bCs/>
          <w:sz w:val="18"/>
          <w:szCs w:val="18"/>
        </w:rPr>
        <w:lastRenderedPageBreak/>
        <w:t xml:space="preserve">La mise en œuvre du système </w:t>
      </w:r>
      <w:proofErr w:type="spellStart"/>
      <w:r w:rsidRPr="005D5075">
        <w:rPr>
          <w:rFonts w:ascii="Sto TT" w:hAnsi="Sto TT" w:cs="Arial"/>
          <w:b/>
          <w:bCs/>
          <w:sz w:val="18"/>
          <w:szCs w:val="18"/>
        </w:rPr>
        <w:t>StoVentec</w:t>
      </w:r>
      <w:proofErr w:type="spellEnd"/>
      <w:r w:rsidRPr="005D5075">
        <w:rPr>
          <w:rFonts w:ascii="Sto TT" w:hAnsi="Sto TT" w:cs="Arial"/>
          <w:b/>
          <w:bCs/>
          <w:sz w:val="18"/>
          <w:szCs w:val="18"/>
        </w:rPr>
        <w:t xml:space="preserve"> Fibre Ciment est conditionnée par la conformité du support</w:t>
      </w:r>
      <w:r w:rsidRPr="005D5075">
        <w:rPr>
          <w:rFonts w:ascii="Sto TT" w:hAnsi="Sto TT" w:cs="Arial"/>
          <w:bCs/>
          <w:sz w:val="18"/>
          <w:szCs w:val="18"/>
        </w:rPr>
        <w:t>.</w:t>
      </w:r>
    </w:p>
    <w:p w14:paraId="3D9E7FFF" w14:textId="77777777" w:rsidR="00316157" w:rsidRPr="005D5075" w:rsidRDefault="00316157" w:rsidP="00316157">
      <w:pPr>
        <w:spacing w:before="240"/>
        <w:ind w:left="-709" w:right="1"/>
        <w:jc w:val="both"/>
        <w:rPr>
          <w:rFonts w:ascii="Sto TT" w:hAnsi="Sto TT" w:cs="Arial"/>
          <w:bCs/>
          <w:sz w:val="18"/>
          <w:szCs w:val="18"/>
        </w:rPr>
      </w:pPr>
      <w:r w:rsidRPr="005D5075">
        <w:rPr>
          <w:rFonts w:ascii="Sto TT" w:hAnsi="Sto TT" w:cs="Arial"/>
          <w:bCs/>
          <w:sz w:val="18"/>
          <w:szCs w:val="18"/>
        </w:rPr>
        <w:t>Cette préconisation repose sur des éléments techniques définis et ne dispense en aucun cas l’entreprise exécutante de respecter les règles professionnelles, les normes en vigueur et les prescriptions du fabricant. Il appartient à l’entreprise de vérifier la faisabilité de la mise en œuvre, la compatibilité des composants et l’adéquation du support avec les travaux envisagés.</w:t>
      </w:r>
    </w:p>
    <w:p w14:paraId="04A134AE" w14:textId="77777777" w:rsidR="00316157" w:rsidRPr="005D5075" w:rsidRDefault="00316157" w:rsidP="00316157">
      <w:pPr>
        <w:spacing w:before="240"/>
        <w:ind w:left="-709" w:right="1"/>
        <w:jc w:val="both"/>
        <w:rPr>
          <w:rFonts w:ascii="Sto TT" w:hAnsi="Sto TT" w:cs="Arial"/>
          <w:bCs/>
          <w:sz w:val="2"/>
          <w:szCs w:val="2"/>
        </w:rPr>
      </w:pPr>
    </w:p>
    <w:tbl>
      <w:tblPr>
        <w:tblW w:w="10501" w:type="dxa"/>
        <w:tblInd w:w="-702" w:type="dxa"/>
        <w:tblLook w:val="04A0" w:firstRow="1" w:lastRow="0" w:firstColumn="1" w:lastColumn="0" w:noHBand="0" w:noVBand="1"/>
      </w:tblPr>
      <w:tblGrid>
        <w:gridCol w:w="10501"/>
      </w:tblGrid>
      <w:tr w:rsidR="00316157" w:rsidRPr="005D5075" w14:paraId="29D3A7EA" w14:textId="77777777" w:rsidTr="00181368">
        <w:trPr>
          <w:trHeight w:val="247"/>
        </w:trPr>
        <w:tc>
          <w:tcPr>
            <w:tcW w:w="10501" w:type="dxa"/>
          </w:tcPr>
          <w:p w14:paraId="376E9EEC" w14:textId="77777777" w:rsidR="00316157" w:rsidRPr="005D5075" w:rsidRDefault="00316157" w:rsidP="00181368">
            <w:pPr>
              <w:jc w:val="center"/>
              <w:rPr>
                <w:rFonts w:ascii="Sto TT" w:eastAsia="Verdana" w:hAnsi="Sto TT" w:cs="Arial"/>
                <w:b/>
                <w:bCs/>
                <w:color w:val="2F5496" w:themeColor="accent5" w:themeShade="BF"/>
                <w:sz w:val="22"/>
                <w:szCs w:val="22"/>
              </w:rPr>
            </w:pPr>
            <w:r>
              <w:rPr>
                <w:rFonts w:ascii="Sto TT" w:hAnsi="Sto TT" w:cs="Arial"/>
                <w:bCs/>
                <w:noProof/>
                <w:sz w:val="2"/>
                <w:szCs w:val="2"/>
              </w:rPr>
              <mc:AlternateContent>
                <mc:Choice Requires="wps">
                  <w:drawing>
                    <wp:anchor distT="0" distB="0" distL="114300" distR="114300" simplePos="0" relativeHeight="251665408" behindDoc="0" locked="0" layoutInCell="1" allowOverlap="1" wp14:anchorId="5ACAC22E" wp14:editId="2F883DF2">
                      <wp:simplePos x="0" y="0"/>
                      <wp:positionH relativeFrom="column">
                        <wp:posOffset>1270</wp:posOffset>
                      </wp:positionH>
                      <wp:positionV relativeFrom="paragraph">
                        <wp:posOffset>2540</wp:posOffset>
                      </wp:positionV>
                      <wp:extent cx="6696075" cy="219075"/>
                      <wp:effectExtent l="0" t="0" r="28575" b="28575"/>
                      <wp:wrapNone/>
                      <wp:docPr id="2122941988" name="Rectangle 19"/>
                      <wp:cNvGraphicFramePr/>
                      <a:graphic xmlns:a="http://schemas.openxmlformats.org/drawingml/2006/main">
                        <a:graphicData uri="http://schemas.microsoft.com/office/word/2010/wordprocessingShape">
                          <wps:wsp>
                            <wps:cNvSpPr/>
                            <wps:spPr>
                              <a:xfrm>
                                <a:off x="0" y="0"/>
                                <a:ext cx="6696075" cy="2190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A76DCC" id="Rectangle 19" o:spid="_x0000_s1026" style="position:absolute;margin-left:.1pt;margin-top:.2pt;width:527.25pt;height:17.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" filled="f" strokecolor="#091723 [484]" strokeweight="1pt"/>
                  </w:pict>
                </mc:Fallback>
              </mc:AlternateContent>
            </w:r>
            <w:r w:rsidRPr="005D5075">
              <w:rPr>
                <w:rFonts w:ascii="Sto TT" w:eastAsia="Verdana" w:hAnsi="Sto TT" w:cs="Arial"/>
                <w:b/>
                <w:bCs/>
                <w:color w:val="2F5496" w:themeColor="accent5" w:themeShade="BF"/>
                <w:sz w:val="22"/>
                <w:szCs w:val="22"/>
              </w:rPr>
              <w:t>Conditions générales d’application</w:t>
            </w:r>
          </w:p>
        </w:tc>
      </w:tr>
    </w:tbl>
    <w:p w14:paraId="37DD903A" w14:textId="77777777" w:rsidR="00316157" w:rsidRPr="00BC2774" w:rsidRDefault="00316157" w:rsidP="00316157">
      <w:pPr>
        <w:ind w:left="-709" w:right="1"/>
        <w:jc w:val="both"/>
        <w:rPr>
          <w:rFonts w:ascii="Sto TT" w:eastAsia="Verdana" w:hAnsi="Sto TT" w:cs="Arial"/>
          <w:b/>
          <w:bCs/>
          <w:sz w:val="18"/>
          <w:szCs w:val="18"/>
        </w:rPr>
      </w:pPr>
    </w:p>
    <w:p w14:paraId="49F2E134"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 xml:space="preserve">La mise en œuvre du système </w:t>
      </w:r>
      <w:proofErr w:type="spellStart"/>
      <w:r w:rsidRPr="00BC2774">
        <w:rPr>
          <w:rFonts w:ascii="Sto TT" w:hAnsi="Sto TT" w:cs="Arial"/>
          <w:bCs/>
          <w:sz w:val="18"/>
          <w:szCs w:val="18"/>
        </w:rPr>
        <w:t>StoVentec</w:t>
      </w:r>
      <w:proofErr w:type="spellEnd"/>
      <w:r w:rsidRPr="00BC2774">
        <w:rPr>
          <w:rFonts w:ascii="Sto TT" w:hAnsi="Sto TT" w:cs="Arial"/>
          <w:bCs/>
          <w:sz w:val="18"/>
          <w:szCs w:val="18"/>
        </w:rPr>
        <w:t xml:space="preserve"> Fibre Ciment est conditionnée par la conformité du support et par le respect des exigences réglementaires applicables au projet.</w:t>
      </w:r>
    </w:p>
    <w:p w14:paraId="05B66375"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La présente préconisation repose sur les caractéristiques techniques du système et ne dispense en aucun cas l'entreprise exécutante :</w:t>
      </w:r>
    </w:p>
    <w:p w14:paraId="411231A2" w14:textId="77777777" w:rsidR="00316157" w:rsidRPr="00BC2774" w:rsidRDefault="00316157" w:rsidP="00560418">
      <w:pPr>
        <w:numPr>
          <w:ilvl w:val="0"/>
          <w:numId w:val="14"/>
        </w:numPr>
        <w:spacing w:before="240"/>
        <w:ind w:right="1"/>
        <w:jc w:val="both"/>
        <w:rPr>
          <w:rFonts w:ascii="Sto TT" w:hAnsi="Sto TT" w:cs="Arial"/>
          <w:bCs/>
          <w:sz w:val="18"/>
          <w:szCs w:val="18"/>
        </w:rPr>
      </w:pPr>
      <w:r w:rsidRPr="00BC2774">
        <w:rPr>
          <w:rFonts w:ascii="Sto TT" w:hAnsi="Sto TT" w:cs="Arial"/>
          <w:sz w:val="18"/>
          <w:szCs w:val="18"/>
        </w:rPr>
        <w:t xml:space="preserve">De respecter les normes, DTU et règles professionnelles en vigueur ; </w:t>
      </w:r>
    </w:p>
    <w:p w14:paraId="7206DB2E" w14:textId="77777777" w:rsidR="00316157" w:rsidRPr="00BC2774" w:rsidRDefault="00316157" w:rsidP="00560418">
      <w:pPr>
        <w:numPr>
          <w:ilvl w:val="0"/>
          <w:numId w:val="14"/>
        </w:numPr>
        <w:spacing w:before="240"/>
        <w:ind w:right="1"/>
        <w:jc w:val="both"/>
        <w:rPr>
          <w:rFonts w:ascii="Sto TT" w:hAnsi="Sto TT" w:cs="Arial"/>
          <w:bCs/>
          <w:sz w:val="18"/>
          <w:szCs w:val="18"/>
        </w:rPr>
      </w:pPr>
      <w:r w:rsidRPr="00BC2774">
        <w:rPr>
          <w:rFonts w:ascii="Sto TT" w:hAnsi="Sto TT" w:cs="Arial"/>
          <w:sz w:val="18"/>
          <w:szCs w:val="18"/>
        </w:rPr>
        <w:t xml:space="preserve">D’appliquer les prescriptions du fabricant ; </w:t>
      </w:r>
    </w:p>
    <w:p w14:paraId="0C1370EB" w14:textId="77777777" w:rsidR="00316157" w:rsidRPr="00BC2774" w:rsidRDefault="00316157" w:rsidP="00560418">
      <w:pPr>
        <w:numPr>
          <w:ilvl w:val="0"/>
          <w:numId w:val="14"/>
        </w:numPr>
        <w:spacing w:before="240"/>
        <w:ind w:right="1"/>
        <w:jc w:val="both"/>
        <w:rPr>
          <w:rFonts w:ascii="Sto TT" w:hAnsi="Sto TT" w:cs="Arial"/>
          <w:bCs/>
          <w:sz w:val="18"/>
          <w:szCs w:val="18"/>
        </w:rPr>
      </w:pPr>
      <w:r w:rsidRPr="00BC2774">
        <w:rPr>
          <w:rFonts w:ascii="Sto TT" w:hAnsi="Sto TT" w:cs="Arial"/>
          <w:sz w:val="18"/>
          <w:szCs w:val="18"/>
        </w:rPr>
        <w:t xml:space="preserve">De vérifier la compatibilité des composants ; </w:t>
      </w:r>
    </w:p>
    <w:p w14:paraId="60DFAEED" w14:textId="77777777" w:rsidR="00316157" w:rsidRPr="00BC2774" w:rsidRDefault="00316157" w:rsidP="00560418">
      <w:pPr>
        <w:numPr>
          <w:ilvl w:val="0"/>
          <w:numId w:val="14"/>
        </w:numPr>
        <w:spacing w:before="240"/>
        <w:ind w:right="1"/>
        <w:jc w:val="both"/>
        <w:rPr>
          <w:rFonts w:ascii="Sto TT" w:hAnsi="Sto TT" w:cs="Arial"/>
          <w:bCs/>
          <w:sz w:val="18"/>
          <w:szCs w:val="18"/>
        </w:rPr>
      </w:pPr>
      <w:r w:rsidRPr="00BC2774">
        <w:rPr>
          <w:rFonts w:ascii="Sto TT" w:hAnsi="Sto TT" w:cs="Arial"/>
          <w:sz w:val="18"/>
          <w:szCs w:val="18"/>
        </w:rPr>
        <w:t xml:space="preserve">De s'assurer de l'aptitude du support à recevoir le système ; </w:t>
      </w:r>
    </w:p>
    <w:p w14:paraId="0046A5D9" w14:textId="77777777" w:rsidR="00316157" w:rsidRPr="00BC2774" w:rsidRDefault="00316157" w:rsidP="00560418">
      <w:pPr>
        <w:numPr>
          <w:ilvl w:val="0"/>
          <w:numId w:val="14"/>
        </w:numPr>
        <w:spacing w:before="240"/>
        <w:ind w:right="1"/>
        <w:jc w:val="both"/>
        <w:rPr>
          <w:rFonts w:ascii="Sto TT" w:hAnsi="Sto TT" w:cs="Arial"/>
          <w:bCs/>
          <w:sz w:val="18"/>
          <w:szCs w:val="18"/>
        </w:rPr>
      </w:pPr>
      <w:r w:rsidRPr="00BC2774">
        <w:rPr>
          <w:rFonts w:ascii="Sto TT" w:hAnsi="Sto TT" w:cs="Arial"/>
          <w:sz w:val="18"/>
          <w:szCs w:val="18"/>
        </w:rPr>
        <w:t>De valider la faisabilité de l'ensemble des travaux envisagés.</w:t>
      </w:r>
    </w:p>
    <w:p w14:paraId="315530F4" w14:textId="77777777" w:rsidR="00316157" w:rsidRPr="00BC2774" w:rsidRDefault="00316157" w:rsidP="00316157">
      <w:pPr>
        <w:spacing w:before="240"/>
        <w:ind w:left="-709" w:right="1"/>
        <w:jc w:val="both"/>
        <w:rPr>
          <w:rFonts w:ascii="Sto TT" w:hAnsi="Sto TT" w:cs="Arial"/>
          <w:b/>
          <w:sz w:val="18"/>
          <w:szCs w:val="18"/>
          <w:u w:val="single"/>
        </w:rPr>
      </w:pPr>
      <w:r w:rsidRPr="00BC2774">
        <w:rPr>
          <w:rFonts w:ascii="Sto TT" w:hAnsi="Sto TT" w:cs="Arial"/>
          <w:b/>
          <w:sz w:val="18"/>
          <w:szCs w:val="18"/>
          <w:u w:val="single"/>
        </w:rPr>
        <w:t>Références techniques</w:t>
      </w:r>
    </w:p>
    <w:p w14:paraId="2C43C02F" w14:textId="77777777" w:rsidR="00316157" w:rsidRPr="00BC2774" w:rsidRDefault="00316157" w:rsidP="00316157">
      <w:pPr>
        <w:spacing w:before="240"/>
        <w:ind w:left="-709" w:right="1"/>
        <w:jc w:val="both"/>
        <w:rPr>
          <w:rFonts w:ascii="Sto TT" w:hAnsi="Sto TT" w:cs="Arial"/>
          <w:b/>
          <w:sz w:val="18"/>
          <w:szCs w:val="18"/>
        </w:rPr>
      </w:pPr>
      <w:r w:rsidRPr="00BC2774">
        <w:rPr>
          <w:rFonts w:ascii="Sto TT" w:hAnsi="Sto TT" w:cs="Arial"/>
          <w:b/>
          <w:sz w:val="18"/>
          <w:szCs w:val="18"/>
        </w:rPr>
        <w:t>Les</w:t>
      </w:r>
      <w:r w:rsidRPr="00BC2774">
        <w:rPr>
          <w:rFonts w:ascii="Sto TT" w:hAnsi="Sto TT" w:cs="Arial"/>
          <w:bCs/>
          <w:sz w:val="18"/>
          <w:szCs w:val="18"/>
        </w:rPr>
        <w:t xml:space="preserve"> </w:t>
      </w:r>
      <w:r w:rsidRPr="00BC2774">
        <w:rPr>
          <w:rFonts w:ascii="Sto TT" w:hAnsi="Sto TT" w:cs="Arial"/>
          <w:b/>
          <w:sz w:val="18"/>
          <w:szCs w:val="18"/>
        </w:rPr>
        <w:t xml:space="preserve">limites d’emploi du </w:t>
      </w:r>
      <w:proofErr w:type="spellStart"/>
      <w:r w:rsidRPr="00BC2774">
        <w:rPr>
          <w:rFonts w:ascii="Sto TT" w:hAnsi="Sto TT" w:cs="Arial"/>
          <w:b/>
          <w:sz w:val="18"/>
          <w:szCs w:val="18"/>
        </w:rPr>
        <w:t>StoVentec</w:t>
      </w:r>
      <w:proofErr w:type="spellEnd"/>
      <w:r w:rsidRPr="00BC2774">
        <w:rPr>
          <w:rFonts w:ascii="Sto TT" w:hAnsi="Sto TT" w:cs="Arial"/>
          <w:b/>
          <w:sz w:val="18"/>
          <w:szCs w:val="18"/>
        </w:rPr>
        <w:t xml:space="preserve"> Fibre Ciment ainsi que sa mise en œuvre se réfèrent impérativement à la notice technique du QB54 du procédé.</w:t>
      </w:r>
    </w:p>
    <w:p w14:paraId="3E308E23"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Les supports admissibles sont définis par :</w:t>
      </w:r>
    </w:p>
    <w:p w14:paraId="67C99DFE" w14:textId="77777777" w:rsidR="00316157" w:rsidRPr="00BC2774" w:rsidRDefault="00316157" w:rsidP="00560418">
      <w:pPr>
        <w:numPr>
          <w:ilvl w:val="0"/>
          <w:numId w:val="13"/>
        </w:numPr>
        <w:spacing w:before="240"/>
        <w:ind w:right="1"/>
        <w:jc w:val="both"/>
        <w:rPr>
          <w:rFonts w:ascii="Sto TT" w:hAnsi="Sto TT" w:cs="Arial"/>
          <w:bCs/>
          <w:sz w:val="18"/>
          <w:szCs w:val="18"/>
        </w:rPr>
      </w:pPr>
      <w:r w:rsidRPr="00BC2774">
        <w:rPr>
          <w:rFonts w:ascii="Sto TT" w:hAnsi="Sto TT" w:cs="Arial"/>
          <w:sz w:val="18"/>
          <w:szCs w:val="18"/>
        </w:rPr>
        <w:t>DTU 20.1 :</w:t>
      </w:r>
      <w:r w:rsidRPr="00BC2774">
        <w:rPr>
          <w:rFonts w:ascii="Sto TT" w:hAnsi="Sto TT" w:cs="Segoe UI"/>
          <w:sz w:val="18"/>
          <w:szCs w:val="18"/>
          <w:lang w:eastAsia="zh-CN"/>
        </w:rPr>
        <w:t xml:space="preserve"> </w:t>
      </w:r>
      <w:r w:rsidRPr="00BC2774">
        <w:rPr>
          <w:rFonts w:ascii="Sto TT" w:hAnsi="Sto TT" w:cs="Arial"/>
          <w:sz w:val="18"/>
          <w:szCs w:val="18"/>
        </w:rPr>
        <w:t>Ouvrages en maçonnerie de petits éléments – Parois et murs</w:t>
      </w:r>
    </w:p>
    <w:p w14:paraId="3CBF0BD7" w14:textId="77777777" w:rsidR="00316157" w:rsidRPr="00BC2774" w:rsidRDefault="00316157" w:rsidP="00560418">
      <w:pPr>
        <w:numPr>
          <w:ilvl w:val="0"/>
          <w:numId w:val="13"/>
        </w:numPr>
        <w:spacing w:before="240"/>
        <w:ind w:right="1"/>
        <w:jc w:val="both"/>
        <w:rPr>
          <w:rFonts w:ascii="Sto TT" w:hAnsi="Sto TT" w:cs="Arial"/>
          <w:bCs/>
          <w:sz w:val="18"/>
          <w:szCs w:val="18"/>
        </w:rPr>
      </w:pPr>
      <w:r w:rsidRPr="00BC2774">
        <w:rPr>
          <w:rFonts w:ascii="Sto TT" w:hAnsi="Sto TT" w:cs="Arial"/>
          <w:sz w:val="18"/>
          <w:szCs w:val="18"/>
        </w:rPr>
        <w:t>NF DTU 23.1 : Murs en béton banché</w:t>
      </w:r>
    </w:p>
    <w:p w14:paraId="08360688" w14:textId="77777777" w:rsidR="00316157" w:rsidRPr="00BC2774" w:rsidRDefault="00316157" w:rsidP="00560418">
      <w:pPr>
        <w:numPr>
          <w:ilvl w:val="0"/>
          <w:numId w:val="13"/>
        </w:numPr>
        <w:spacing w:before="240"/>
        <w:ind w:right="1"/>
        <w:jc w:val="both"/>
        <w:rPr>
          <w:rFonts w:ascii="Sto TT" w:hAnsi="Sto TT" w:cs="Arial"/>
          <w:bCs/>
          <w:sz w:val="18"/>
          <w:szCs w:val="18"/>
        </w:rPr>
      </w:pPr>
      <w:r w:rsidRPr="00BC2774">
        <w:rPr>
          <w:rFonts w:ascii="Sto TT" w:hAnsi="Sto TT" w:cs="Arial"/>
          <w:sz w:val="18"/>
          <w:szCs w:val="18"/>
        </w:rPr>
        <w:t>NF DTU 31.2 : Construction de maisons et bâtiments à ossature en bois. (Document de référence pour les ouvrages à ossature bois et les panneaux CLT assimilés dans de nombreuses applications.)</w:t>
      </w:r>
    </w:p>
    <w:p w14:paraId="1BA55791" w14:textId="77777777" w:rsidR="00316157" w:rsidRPr="00BC2774" w:rsidRDefault="00316157" w:rsidP="00560418">
      <w:pPr>
        <w:numPr>
          <w:ilvl w:val="0"/>
          <w:numId w:val="13"/>
        </w:numPr>
        <w:spacing w:before="240"/>
        <w:ind w:right="1"/>
        <w:jc w:val="both"/>
        <w:rPr>
          <w:rFonts w:ascii="Sto TT" w:hAnsi="Sto TT" w:cs="Arial"/>
          <w:bCs/>
          <w:sz w:val="18"/>
          <w:szCs w:val="18"/>
        </w:rPr>
      </w:pPr>
      <w:r w:rsidRPr="00BC2774">
        <w:rPr>
          <w:rFonts w:ascii="Sto TT" w:hAnsi="Sto TT" w:cs="Arial"/>
          <w:sz w:val="18"/>
          <w:szCs w:val="18"/>
        </w:rPr>
        <w:t>NF DTU 45.4 : Systèmes d'isolation thermique extérieure par bardage rapporté à lame d'air ventilée.</w:t>
      </w:r>
    </w:p>
    <w:p w14:paraId="311D0615"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La conception et la mise en œuvre des ossatures bois et métalliques est conforme au P1.1.1 du DTU 45.4.</w:t>
      </w:r>
    </w:p>
    <w:p w14:paraId="417F1424" w14:textId="77777777" w:rsidR="00316157" w:rsidRPr="00BC2774" w:rsidRDefault="00316157" w:rsidP="00316157">
      <w:pPr>
        <w:spacing w:before="240"/>
        <w:ind w:left="-709" w:right="1"/>
        <w:jc w:val="both"/>
        <w:rPr>
          <w:rFonts w:ascii="Sto TT" w:hAnsi="Sto TT" w:cs="Arial"/>
          <w:b/>
          <w:sz w:val="18"/>
          <w:szCs w:val="18"/>
          <w:u w:val="single"/>
        </w:rPr>
      </w:pPr>
      <w:r w:rsidRPr="00BC2774">
        <w:rPr>
          <w:rFonts w:ascii="Sto TT" w:hAnsi="Sto TT" w:cs="Arial"/>
          <w:b/>
          <w:sz w:val="18"/>
          <w:szCs w:val="18"/>
          <w:u w:val="single"/>
        </w:rPr>
        <w:t>Diagnostic préalable du support et vérification des performances</w:t>
      </w:r>
    </w:p>
    <w:p w14:paraId="433491FA"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 xml:space="preserve">Avant tout démarrage du chantier, un diagnostic du support est réalisé afin de vérifier l’état général du support, Sa résistance mécanique, sa planéité, sa capacité à recevoir les chevilles de fixation, l’absence de désordre structuraux… </w:t>
      </w:r>
    </w:p>
    <w:p w14:paraId="52D1090C"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La responsabilité de l'entreprise est engagée en cas d'acceptation d'un support non conforme.</w:t>
      </w:r>
    </w:p>
    <w:p w14:paraId="3854FA69" w14:textId="77777777" w:rsidR="00316157" w:rsidRPr="00BC2774" w:rsidRDefault="00316157" w:rsidP="00316157">
      <w:pPr>
        <w:spacing w:before="240"/>
        <w:ind w:left="-709" w:right="1"/>
        <w:jc w:val="both"/>
        <w:rPr>
          <w:rFonts w:ascii="Sto TT" w:hAnsi="Sto TT" w:cs="Arial"/>
          <w:bCs/>
          <w:sz w:val="18"/>
          <w:szCs w:val="18"/>
          <w:u w:val="single"/>
        </w:rPr>
      </w:pPr>
      <w:r w:rsidRPr="00BC2774">
        <w:rPr>
          <w:rFonts w:ascii="Sto TT" w:hAnsi="Sto TT" w:cs="Arial"/>
          <w:bCs/>
          <w:sz w:val="18"/>
          <w:szCs w:val="18"/>
          <w:u w:val="single"/>
        </w:rPr>
        <w:t>Cas des fissures et lézardes</w:t>
      </w:r>
    </w:p>
    <w:p w14:paraId="2F175AF3"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La présence de lézardes (fissures supérieures à 2 mm) constitue généralement un désordre structurel.</w:t>
      </w:r>
    </w:p>
    <w:p w14:paraId="2E08D6B9"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Leur traitement ne relève pas de la compétence du façadier et doit être confié à une entreprise spécialisée chargée notamment :</w:t>
      </w:r>
    </w:p>
    <w:p w14:paraId="242244C3" w14:textId="77777777" w:rsidR="00316157" w:rsidRPr="00BC2774" w:rsidRDefault="00316157" w:rsidP="00560418">
      <w:pPr>
        <w:numPr>
          <w:ilvl w:val="0"/>
          <w:numId w:val="15"/>
        </w:numPr>
        <w:spacing w:before="240"/>
        <w:ind w:right="1"/>
        <w:jc w:val="both"/>
        <w:rPr>
          <w:rFonts w:ascii="Sto TT" w:hAnsi="Sto TT" w:cs="Arial"/>
          <w:bCs/>
          <w:sz w:val="18"/>
          <w:szCs w:val="18"/>
        </w:rPr>
      </w:pPr>
      <w:proofErr w:type="gramStart"/>
      <w:r w:rsidRPr="00BC2774">
        <w:rPr>
          <w:rFonts w:ascii="Sto TT" w:hAnsi="Sto TT" w:cs="Arial"/>
          <w:sz w:val="18"/>
          <w:szCs w:val="18"/>
        </w:rPr>
        <w:t>de</w:t>
      </w:r>
      <w:proofErr w:type="gramEnd"/>
      <w:r w:rsidRPr="00BC2774">
        <w:rPr>
          <w:rFonts w:ascii="Sto TT" w:hAnsi="Sto TT" w:cs="Arial"/>
          <w:sz w:val="18"/>
          <w:szCs w:val="18"/>
        </w:rPr>
        <w:t xml:space="preserve"> vérifier les fondations</w:t>
      </w:r>
    </w:p>
    <w:p w14:paraId="51B4A03D" w14:textId="77777777" w:rsidR="00316157" w:rsidRPr="00BC2774" w:rsidRDefault="00316157" w:rsidP="00560418">
      <w:pPr>
        <w:numPr>
          <w:ilvl w:val="0"/>
          <w:numId w:val="15"/>
        </w:numPr>
        <w:spacing w:before="240"/>
        <w:ind w:right="1"/>
        <w:jc w:val="both"/>
        <w:rPr>
          <w:rFonts w:ascii="Sto TT" w:hAnsi="Sto TT" w:cs="Arial"/>
          <w:bCs/>
          <w:sz w:val="18"/>
          <w:szCs w:val="18"/>
        </w:rPr>
      </w:pPr>
      <w:proofErr w:type="gramStart"/>
      <w:r w:rsidRPr="00BC2774">
        <w:rPr>
          <w:rFonts w:ascii="Sto TT" w:hAnsi="Sto TT" w:cs="Arial"/>
          <w:sz w:val="18"/>
          <w:szCs w:val="18"/>
        </w:rPr>
        <w:t>de</w:t>
      </w:r>
      <w:proofErr w:type="gramEnd"/>
      <w:r w:rsidRPr="00BC2774">
        <w:rPr>
          <w:rFonts w:ascii="Sto TT" w:hAnsi="Sto TT" w:cs="Arial"/>
          <w:sz w:val="18"/>
          <w:szCs w:val="18"/>
        </w:rPr>
        <w:t xml:space="preserve"> poser les agrafes éventuelles</w:t>
      </w:r>
    </w:p>
    <w:p w14:paraId="1974353B" w14:textId="77777777" w:rsidR="00316157" w:rsidRPr="00BC2774" w:rsidRDefault="00316157" w:rsidP="00560418">
      <w:pPr>
        <w:numPr>
          <w:ilvl w:val="0"/>
          <w:numId w:val="15"/>
        </w:numPr>
        <w:spacing w:before="240"/>
        <w:ind w:right="1"/>
        <w:jc w:val="both"/>
        <w:rPr>
          <w:rFonts w:ascii="Sto TT" w:hAnsi="Sto TT" w:cs="Arial"/>
          <w:bCs/>
          <w:sz w:val="18"/>
          <w:szCs w:val="18"/>
        </w:rPr>
      </w:pPr>
      <w:proofErr w:type="gramStart"/>
      <w:r w:rsidRPr="00BC2774">
        <w:rPr>
          <w:rFonts w:ascii="Sto TT" w:hAnsi="Sto TT" w:cs="Arial"/>
          <w:sz w:val="18"/>
          <w:szCs w:val="18"/>
        </w:rPr>
        <w:lastRenderedPageBreak/>
        <w:t>de</w:t>
      </w:r>
      <w:proofErr w:type="gramEnd"/>
      <w:r w:rsidRPr="00BC2774">
        <w:rPr>
          <w:rFonts w:ascii="Sto TT" w:hAnsi="Sto TT" w:cs="Arial"/>
          <w:sz w:val="18"/>
          <w:szCs w:val="18"/>
        </w:rPr>
        <w:t xml:space="preserve"> réaliser les reprises de gros œuvre nécessaires.</w:t>
      </w:r>
    </w:p>
    <w:p w14:paraId="1A2ACF95"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 xml:space="preserve">Le système </w:t>
      </w:r>
      <w:proofErr w:type="spellStart"/>
      <w:r w:rsidRPr="00BC2774">
        <w:rPr>
          <w:rFonts w:ascii="Sto TT" w:hAnsi="Sto TT" w:cs="Arial"/>
          <w:bCs/>
          <w:sz w:val="18"/>
          <w:szCs w:val="18"/>
        </w:rPr>
        <w:t>StoVentec</w:t>
      </w:r>
      <w:proofErr w:type="spellEnd"/>
      <w:r w:rsidRPr="00BC2774">
        <w:rPr>
          <w:rFonts w:ascii="Sto TT" w:hAnsi="Sto TT" w:cs="Arial"/>
          <w:bCs/>
          <w:sz w:val="18"/>
          <w:szCs w:val="18"/>
        </w:rPr>
        <w:t xml:space="preserve"> Fibre Ciment ne doit pas être appliqué sur un support présentant des lézardes.</w:t>
      </w:r>
    </w:p>
    <w:p w14:paraId="776A54FA" w14:textId="77777777" w:rsidR="00316157" w:rsidRPr="00BC2774" w:rsidRDefault="00316157" w:rsidP="00316157">
      <w:pPr>
        <w:spacing w:before="240"/>
        <w:ind w:left="-709" w:right="1"/>
        <w:jc w:val="both"/>
        <w:rPr>
          <w:rFonts w:ascii="Sto TT" w:hAnsi="Sto TT" w:cs="Arial"/>
          <w:bCs/>
          <w:sz w:val="18"/>
          <w:szCs w:val="18"/>
          <w:u w:val="single"/>
        </w:rPr>
      </w:pPr>
      <w:r w:rsidRPr="00BC2774">
        <w:rPr>
          <w:rFonts w:ascii="Sto TT" w:hAnsi="Sto TT" w:cs="Arial"/>
          <w:bCs/>
          <w:sz w:val="18"/>
          <w:szCs w:val="18"/>
          <w:u w:val="single"/>
        </w:rPr>
        <w:t>Cas des supports amiantés</w:t>
      </w:r>
    </w:p>
    <w:p w14:paraId="454AF075"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La présence d'amiante nécessite une intervention réalisée par une entreprise habilitée conformément à la réglementation en vigueur.</w:t>
      </w:r>
    </w:p>
    <w:p w14:paraId="66F7993C" w14:textId="77777777" w:rsidR="00316157" w:rsidRPr="00BC2774" w:rsidRDefault="00316157" w:rsidP="00316157">
      <w:pPr>
        <w:spacing w:before="240"/>
        <w:ind w:left="-709" w:right="1"/>
        <w:jc w:val="both"/>
        <w:rPr>
          <w:rFonts w:ascii="Sto TT" w:hAnsi="Sto TT" w:cs="Arial"/>
          <w:bCs/>
          <w:sz w:val="18"/>
          <w:szCs w:val="18"/>
        </w:rPr>
      </w:pPr>
      <w:r w:rsidRPr="00BC2774">
        <w:rPr>
          <w:rFonts w:ascii="Sto TT" w:hAnsi="Sto TT" w:cs="Arial"/>
          <w:bCs/>
          <w:sz w:val="18"/>
          <w:szCs w:val="18"/>
        </w:rPr>
        <w:t>Un mode opératoire spécifique devra être établi, notamment pour les opérations de percement du support.</w:t>
      </w:r>
    </w:p>
    <w:p w14:paraId="43BE7FBE" w14:textId="77777777" w:rsidR="00316157" w:rsidRPr="00BC2774" w:rsidRDefault="00316157" w:rsidP="00316157">
      <w:pPr>
        <w:spacing w:before="240"/>
        <w:ind w:left="-709" w:right="1"/>
        <w:jc w:val="both"/>
        <w:rPr>
          <w:rFonts w:ascii="Sto TT" w:hAnsi="Sto TT" w:cs="Arial"/>
          <w:b/>
          <w:sz w:val="18"/>
          <w:szCs w:val="18"/>
          <w:u w:val="single"/>
        </w:rPr>
      </w:pPr>
      <w:r w:rsidRPr="00BC2774">
        <w:rPr>
          <w:rFonts w:ascii="Sto TT" w:hAnsi="Sto TT" w:cs="Arial"/>
          <w:b/>
          <w:sz w:val="18"/>
          <w:szCs w:val="18"/>
          <w:u w:val="single"/>
        </w:rPr>
        <w:t>Sécurité incendie</w:t>
      </w:r>
    </w:p>
    <w:p w14:paraId="7E3779E8" w14:textId="77777777" w:rsidR="00316157" w:rsidRPr="00BC2774" w:rsidRDefault="00316157" w:rsidP="00316157">
      <w:pPr>
        <w:jc w:val="both"/>
        <w:rPr>
          <w:rFonts w:ascii="Sto TT" w:eastAsia="Verdana" w:hAnsi="Sto TT" w:cs="Arial"/>
          <w:sz w:val="18"/>
          <w:szCs w:val="18"/>
        </w:rPr>
      </w:pPr>
    </w:p>
    <w:p w14:paraId="314CA9FA" w14:textId="77777777" w:rsidR="00316157" w:rsidRPr="00BC2774" w:rsidRDefault="00316157" w:rsidP="00316157">
      <w:pPr>
        <w:ind w:left="-709"/>
        <w:jc w:val="both"/>
        <w:rPr>
          <w:rFonts w:ascii="Sto TT" w:eastAsia="Verdana" w:hAnsi="Sto TT" w:cs="Arial"/>
          <w:b/>
          <w:bCs/>
          <w:sz w:val="18"/>
          <w:szCs w:val="18"/>
        </w:rPr>
      </w:pPr>
      <w:r w:rsidRPr="00BC2774">
        <w:rPr>
          <w:rFonts w:ascii="Sto TT" w:eastAsia="Verdana" w:hAnsi="Sto TT" w:cs="Arial"/>
          <w:b/>
          <w:bCs/>
          <w:sz w:val="18"/>
          <w:szCs w:val="18"/>
        </w:rPr>
        <w:t xml:space="preserve">Les façades en bardage ventilé réalisées avec le procédé </w:t>
      </w:r>
      <w:proofErr w:type="spellStart"/>
      <w:r w:rsidRPr="00BC2774">
        <w:rPr>
          <w:rFonts w:ascii="Sto TT" w:eastAsia="Verdana" w:hAnsi="Sto TT" w:cs="Arial"/>
          <w:b/>
          <w:bCs/>
          <w:sz w:val="18"/>
          <w:szCs w:val="18"/>
        </w:rPr>
        <w:t>StoVentec</w:t>
      </w:r>
      <w:proofErr w:type="spellEnd"/>
      <w:r w:rsidRPr="00BC2774">
        <w:rPr>
          <w:rFonts w:ascii="Sto TT" w:eastAsia="Verdana" w:hAnsi="Sto TT" w:cs="Arial"/>
          <w:b/>
          <w:bCs/>
          <w:sz w:val="18"/>
          <w:szCs w:val="18"/>
        </w:rPr>
        <w:t xml:space="preserve"> Fibre Ciment devront être conformes aux exigences de sécurité incendie en vigueur, notamment aux dispositions relatives au comportement au feu et à la règle du « C + D », selon la nature de l’ouvrage concerné.</w:t>
      </w:r>
    </w:p>
    <w:p w14:paraId="6521967D" w14:textId="77777777" w:rsidR="00316157" w:rsidRPr="00BC2774" w:rsidRDefault="00316157" w:rsidP="00316157">
      <w:pPr>
        <w:ind w:left="-709"/>
        <w:jc w:val="both"/>
        <w:rPr>
          <w:rFonts w:ascii="Sto TT" w:eastAsia="Verdana" w:hAnsi="Sto TT" w:cs="Arial"/>
          <w:sz w:val="18"/>
          <w:szCs w:val="18"/>
        </w:rPr>
      </w:pPr>
    </w:p>
    <w:p w14:paraId="54971BDD" w14:textId="77777777" w:rsidR="00316157" w:rsidRPr="00BC2774" w:rsidRDefault="00316157" w:rsidP="00316157">
      <w:pPr>
        <w:ind w:left="-709"/>
        <w:jc w:val="both"/>
        <w:rPr>
          <w:rFonts w:ascii="Sto TT" w:eastAsia="Verdana" w:hAnsi="Sto TT" w:cs="Arial"/>
          <w:sz w:val="18"/>
          <w:szCs w:val="18"/>
        </w:rPr>
      </w:pPr>
      <w:r w:rsidRPr="00BC2774">
        <w:rPr>
          <w:rFonts w:ascii="Sto TT" w:eastAsia="Verdana" w:hAnsi="Sto TT" w:cs="Arial"/>
          <w:sz w:val="18"/>
          <w:szCs w:val="18"/>
        </w:rPr>
        <w:t>En cas de non-conformité à la règle du « C + D », des mesures correctives seront nécessaires pour assurer la conformité de la façade, notamment par la mise en œuvre d'éléments maçonnés ou de toute autre solution technique validée. Ces mesures pourront nécessiter, selon les cas, le remplacement ou l'adaptation des menuiseries existantes.</w:t>
      </w:r>
    </w:p>
    <w:p w14:paraId="4414E10D" w14:textId="77777777" w:rsidR="00316157" w:rsidRPr="00BC2774" w:rsidRDefault="00316157" w:rsidP="00316157">
      <w:pPr>
        <w:ind w:left="-709"/>
        <w:jc w:val="both"/>
        <w:rPr>
          <w:rFonts w:ascii="Sto TT" w:eastAsia="Verdana" w:hAnsi="Sto TT" w:cs="Arial"/>
          <w:sz w:val="18"/>
          <w:szCs w:val="18"/>
        </w:rPr>
      </w:pPr>
    </w:p>
    <w:p w14:paraId="700A7B8C" w14:textId="77777777" w:rsidR="00316157" w:rsidRPr="00BC2774" w:rsidRDefault="00316157" w:rsidP="00316157">
      <w:pPr>
        <w:ind w:left="-709"/>
        <w:jc w:val="both"/>
        <w:rPr>
          <w:rFonts w:ascii="Sto TT" w:eastAsia="Verdana" w:hAnsi="Sto TT" w:cs="Arial"/>
          <w:b/>
          <w:bCs/>
          <w:sz w:val="18"/>
          <w:szCs w:val="18"/>
          <w:u w:val="single"/>
        </w:rPr>
      </w:pPr>
      <w:r w:rsidRPr="00BC2774">
        <w:rPr>
          <w:rFonts w:ascii="Sto TT" w:eastAsia="Verdana" w:hAnsi="Sto TT" w:cs="Arial"/>
          <w:sz w:val="18"/>
          <w:szCs w:val="18"/>
        </w:rPr>
        <w:t>Pour les bâtiments soumis à l’IT 249, les dispositifs de lutte contre la propagation du feu en façade décrits par le</w:t>
      </w:r>
      <w:r w:rsidRPr="00BC2774">
        <w:rPr>
          <w:rFonts w:ascii="Sto TT" w:eastAsia="Verdana" w:hAnsi="Sto TT" w:cs="Arial"/>
          <w:b/>
          <w:bCs/>
          <w:sz w:val="18"/>
          <w:szCs w:val="18"/>
          <w:u w:val="single"/>
        </w:rPr>
        <w:t xml:space="preserve"> </w:t>
      </w:r>
      <w:r w:rsidRPr="00BC2774">
        <w:rPr>
          <w:rFonts w:ascii="Sto TT" w:eastAsia="Verdana" w:hAnsi="Sto TT" w:cs="Arial"/>
          <w:sz w:val="18"/>
          <w:szCs w:val="18"/>
        </w:rPr>
        <w:t>guide de préconisations du SNBVI « protection contre l’Incendie des façades béton ou maçonnerie revêtues de systèmes d’isolation thermique extérieure par bardage rapporté ventilé » seront appliqués.</w:t>
      </w:r>
    </w:p>
    <w:p w14:paraId="5D32A32B" w14:textId="77777777" w:rsidR="00316157" w:rsidRPr="00BC2774" w:rsidRDefault="00316157" w:rsidP="00316157">
      <w:pPr>
        <w:ind w:left="-709"/>
        <w:jc w:val="both"/>
        <w:rPr>
          <w:rFonts w:ascii="Sto TT" w:eastAsia="Verdana" w:hAnsi="Sto TT" w:cs="Arial"/>
          <w:sz w:val="18"/>
          <w:szCs w:val="18"/>
        </w:rPr>
      </w:pPr>
    </w:p>
    <w:p w14:paraId="7AAA8574" w14:textId="77777777" w:rsidR="00316157" w:rsidRPr="00BC2774" w:rsidRDefault="00316157" w:rsidP="00316157">
      <w:pPr>
        <w:ind w:left="-709"/>
        <w:jc w:val="both"/>
        <w:rPr>
          <w:rFonts w:ascii="Sto TT" w:eastAsia="Verdana" w:hAnsi="Sto TT" w:cs="Arial"/>
          <w:b/>
          <w:bCs/>
          <w:sz w:val="18"/>
          <w:szCs w:val="18"/>
          <w:u w:val="single"/>
        </w:rPr>
      </w:pPr>
      <w:r w:rsidRPr="00BC2774">
        <w:rPr>
          <w:rFonts w:ascii="Sto TT" w:eastAsia="Verdana" w:hAnsi="Sto TT" w:cs="Arial"/>
          <w:b/>
          <w:bCs/>
          <w:sz w:val="18"/>
          <w:szCs w:val="18"/>
          <w:u w:val="single"/>
        </w:rPr>
        <w:t xml:space="preserve">Autre option APL </w:t>
      </w:r>
      <w:proofErr w:type="spellStart"/>
      <w:r w:rsidRPr="00BC2774">
        <w:rPr>
          <w:rFonts w:ascii="Sto TT" w:eastAsia="Verdana" w:hAnsi="Sto TT" w:cs="Arial"/>
          <w:b/>
          <w:bCs/>
          <w:sz w:val="18"/>
          <w:szCs w:val="18"/>
          <w:u w:val="single"/>
        </w:rPr>
        <w:t>StoVentec</w:t>
      </w:r>
      <w:proofErr w:type="spellEnd"/>
      <w:r w:rsidRPr="00BC2774">
        <w:rPr>
          <w:rFonts w:ascii="Sto TT" w:eastAsia="Verdana" w:hAnsi="Sto TT" w:cs="Arial"/>
          <w:b/>
          <w:bCs/>
          <w:sz w:val="18"/>
          <w:szCs w:val="18"/>
          <w:u w:val="single"/>
        </w:rPr>
        <w:t xml:space="preserve"> - </w:t>
      </w:r>
      <w:proofErr w:type="spellStart"/>
      <w:r w:rsidRPr="00BC2774">
        <w:rPr>
          <w:rFonts w:ascii="Sto TT" w:eastAsia="Verdana" w:hAnsi="Sto TT" w:cs="Arial"/>
          <w:b/>
          <w:bCs/>
          <w:sz w:val="18"/>
          <w:szCs w:val="18"/>
          <w:u w:val="single"/>
        </w:rPr>
        <w:t>Rockwool</w:t>
      </w:r>
      <w:proofErr w:type="spellEnd"/>
      <w:r w:rsidRPr="00BC2774">
        <w:rPr>
          <w:rFonts w:ascii="Sto TT" w:eastAsia="Verdana" w:hAnsi="Sto TT" w:cs="Arial"/>
          <w:b/>
          <w:bCs/>
          <w:sz w:val="18"/>
          <w:szCs w:val="18"/>
          <w:u w:val="single"/>
        </w:rPr>
        <w:t xml:space="preserve"> (APL EFR-22-002647)</w:t>
      </w:r>
    </w:p>
    <w:p w14:paraId="7ACEB55D" w14:textId="77777777" w:rsidR="00316157" w:rsidRPr="00BC2774" w:rsidRDefault="00316157" w:rsidP="00316157">
      <w:pPr>
        <w:ind w:left="-709"/>
        <w:jc w:val="both"/>
        <w:rPr>
          <w:rFonts w:ascii="Sto TT" w:eastAsia="Verdana" w:hAnsi="Sto TT" w:cs="Arial"/>
          <w:sz w:val="18"/>
          <w:szCs w:val="18"/>
        </w:rPr>
      </w:pPr>
      <w:r w:rsidRPr="00BC2774">
        <w:rPr>
          <w:rFonts w:ascii="Sto TT" w:eastAsia="Verdana" w:hAnsi="Sto TT" w:cs="Arial"/>
          <w:sz w:val="18"/>
          <w:szCs w:val="18"/>
        </w:rPr>
        <w:t xml:space="preserve">Le système Sto </w:t>
      </w:r>
      <w:proofErr w:type="spellStart"/>
      <w:r w:rsidRPr="00BC2774">
        <w:rPr>
          <w:rFonts w:ascii="Sto TT" w:eastAsia="Verdana" w:hAnsi="Sto TT" w:cs="Arial"/>
          <w:sz w:val="18"/>
          <w:szCs w:val="18"/>
        </w:rPr>
        <w:t>Ventec</w:t>
      </w:r>
      <w:proofErr w:type="spellEnd"/>
      <w:r w:rsidRPr="00BC2774">
        <w:rPr>
          <w:rFonts w:ascii="Sto TT" w:eastAsia="Verdana" w:hAnsi="Sto TT" w:cs="Arial"/>
          <w:sz w:val="18"/>
          <w:szCs w:val="18"/>
        </w:rPr>
        <w:t xml:space="preserve"> Fibre Ciment, mis en œuvre sous couvert et dans les conditions définies par l’APL susvisé, associé à un isolant en laine de roche </w:t>
      </w:r>
      <w:proofErr w:type="spellStart"/>
      <w:r w:rsidRPr="00BC2774">
        <w:rPr>
          <w:rFonts w:ascii="Sto TT" w:eastAsia="Verdana" w:hAnsi="Sto TT" w:cs="Arial"/>
          <w:sz w:val="18"/>
          <w:szCs w:val="18"/>
        </w:rPr>
        <w:t>Rockwool</w:t>
      </w:r>
      <w:proofErr w:type="spellEnd"/>
      <w:r w:rsidRPr="00BC2774">
        <w:rPr>
          <w:rFonts w:ascii="Sto TT" w:eastAsia="Verdana" w:hAnsi="Sto TT" w:cs="Arial"/>
          <w:sz w:val="18"/>
          <w:szCs w:val="18"/>
        </w:rPr>
        <w:t xml:space="preserve">, </w:t>
      </w:r>
    </w:p>
    <w:p w14:paraId="6710A54C" w14:textId="77777777" w:rsidR="00316157" w:rsidRPr="00BC2774" w:rsidRDefault="00316157" w:rsidP="00560418">
      <w:pPr>
        <w:numPr>
          <w:ilvl w:val="0"/>
          <w:numId w:val="16"/>
        </w:numPr>
        <w:jc w:val="both"/>
        <w:rPr>
          <w:rFonts w:ascii="Sto TT" w:eastAsia="Verdana" w:hAnsi="Sto TT" w:cs="Arial"/>
          <w:sz w:val="18"/>
          <w:szCs w:val="18"/>
        </w:rPr>
      </w:pPr>
      <w:r w:rsidRPr="1DCEF576">
        <w:rPr>
          <w:rFonts w:ascii="Sto TT" w:eastAsia="Verdana" w:hAnsi="Sto TT" w:cs="Arial"/>
          <w:sz w:val="18"/>
          <w:szCs w:val="18"/>
        </w:rPr>
        <w:t>Peut être installé sans dispositif de recoupement au feu jusqu’à 18m pour les bâtiments d’habitation et ERP pour lesquels la règle du C+D n’est pas applicable.</w:t>
      </w:r>
    </w:p>
    <w:p w14:paraId="04A23FD6" w14:textId="77777777" w:rsidR="00316157" w:rsidRPr="00BC2774" w:rsidRDefault="00316157" w:rsidP="00560418">
      <w:pPr>
        <w:numPr>
          <w:ilvl w:val="0"/>
          <w:numId w:val="16"/>
        </w:numPr>
        <w:jc w:val="both"/>
        <w:rPr>
          <w:rFonts w:ascii="Sto TT" w:eastAsia="Verdana" w:hAnsi="Sto TT" w:cs="Arial"/>
          <w:sz w:val="18"/>
          <w:szCs w:val="18"/>
        </w:rPr>
      </w:pPr>
      <w:r w:rsidRPr="1DCEF576">
        <w:rPr>
          <w:rFonts w:ascii="Sto TT" w:eastAsia="Verdana" w:hAnsi="Sto TT" w:cs="Arial"/>
          <w:sz w:val="18"/>
          <w:szCs w:val="18"/>
        </w:rPr>
        <w:t>Peut-être installé avec des bavettes acier non débordantes sur tous types de bâtiments.</w:t>
      </w:r>
    </w:p>
    <w:p w14:paraId="5F77A572" w14:textId="77777777" w:rsidR="00316157" w:rsidRPr="00BC2774" w:rsidRDefault="00316157" w:rsidP="00316157">
      <w:pPr>
        <w:jc w:val="both"/>
        <w:rPr>
          <w:rFonts w:ascii="Sto TT" w:eastAsia="Verdana" w:hAnsi="Sto TT" w:cs="Arial"/>
          <w:sz w:val="18"/>
          <w:szCs w:val="18"/>
        </w:rPr>
      </w:pPr>
    </w:p>
    <w:p w14:paraId="0C12E2CE" w14:textId="77777777" w:rsidR="00316157" w:rsidRPr="00BC2774" w:rsidRDefault="00316157" w:rsidP="00316157">
      <w:pPr>
        <w:ind w:left="-709"/>
        <w:jc w:val="both"/>
        <w:rPr>
          <w:rFonts w:ascii="Sto TT" w:eastAsia="Verdana" w:hAnsi="Sto TT" w:cs="Arial"/>
          <w:sz w:val="18"/>
          <w:szCs w:val="18"/>
        </w:rPr>
      </w:pPr>
      <w:r w:rsidRPr="00BC2774">
        <w:rPr>
          <w:rFonts w:ascii="Sto TT" w:eastAsia="Verdana" w:hAnsi="Sto TT" w:cs="Arial"/>
          <w:sz w:val="18"/>
          <w:szCs w:val="18"/>
        </w:rPr>
        <w:t>Les dispositions constructives décrites respectent les exigences de l’Instruction Technique IT 249 ainsi que les arrêtés en vigueur relatifs à la sécurité incendie des bâtiments d’habitation et des établissements recevant du public (ERP).</w:t>
      </w:r>
    </w:p>
    <w:p w14:paraId="4B93AAE3" w14:textId="77777777" w:rsidR="00316157" w:rsidRPr="00BC2774" w:rsidRDefault="00316157" w:rsidP="00316157">
      <w:pPr>
        <w:jc w:val="both"/>
        <w:rPr>
          <w:rFonts w:ascii="Sto TT" w:eastAsia="Verdana" w:hAnsi="Sto TT" w:cs="Arial"/>
          <w:b/>
          <w:bCs/>
          <w:sz w:val="18"/>
          <w:szCs w:val="18"/>
          <w:u w:val="single"/>
        </w:rPr>
      </w:pPr>
    </w:p>
    <w:p w14:paraId="7B0FAD30" w14:textId="77777777" w:rsidR="00316157" w:rsidRPr="00BC2774" w:rsidRDefault="00316157" w:rsidP="00316157">
      <w:pPr>
        <w:ind w:left="-709"/>
        <w:jc w:val="both"/>
        <w:rPr>
          <w:rFonts w:ascii="Sto TT" w:eastAsia="Verdana" w:hAnsi="Sto TT" w:cs="Arial"/>
          <w:sz w:val="18"/>
          <w:szCs w:val="18"/>
        </w:rPr>
      </w:pPr>
      <w:r w:rsidRPr="00BC2774">
        <w:rPr>
          <w:rFonts w:ascii="Sto TT" w:eastAsia="Verdana" w:hAnsi="Sto TT" w:cs="Arial"/>
          <w:sz w:val="18"/>
          <w:szCs w:val="18"/>
        </w:rPr>
        <w:t>Le système a notamment démontré, lors de l’essai LEPIR 2, une excellente tenue au feu sans propagation ni inflammation de l’isolant, et répond aux exigences de sécurité en matière de chute d’objets et de feu couvant.</w:t>
      </w:r>
    </w:p>
    <w:p w14:paraId="23740BC4" w14:textId="77777777" w:rsidR="00316157" w:rsidRPr="00BC2774" w:rsidRDefault="00316157" w:rsidP="00316157">
      <w:pPr>
        <w:ind w:left="-709"/>
        <w:jc w:val="both"/>
        <w:rPr>
          <w:rFonts w:ascii="Sto TT" w:eastAsia="Verdana" w:hAnsi="Sto TT" w:cs="Arial"/>
          <w:sz w:val="18"/>
          <w:szCs w:val="18"/>
        </w:rPr>
      </w:pPr>
    </w:p>
    <w:p w14:paraId="35F42576" w14:textId="77777777" w:rsidR="00316157" w:rsidRPr="005D5075" w:rsidRDefault="00316157" w:rsidP="00316157">
      <w:pPr>
        <w:spacing w:before="240"/>
        <w:ind w:left="-709" w:right="1"/>
        <w:jc w:val="both"/>
        <w:rPr>
          <w:rFonts w:ascii="Sto TT" w:hAnsi="Sto TT" w:cs="Arial"/>
          <w:bCs/>
          <w:sz w:val="2"/>
          <w:szCs w:val="2"/>
        </w:rPr>
      </w:pPr>
      <w:r>
        <w:rPr>
          <w:rFonts w:ascii="Sto TT" w:hAnsi="Sto TT" w:cs="Arial"/>
          <w:bCs/>
          <w:noProof/>
          <w:sz w:val="2"/>
          <w:szCs w:val="2"/>
        </w:rPr>
        <mc:AlternateContent>
          <mc:Choice Requires="wps">
            <w:drawing>
              <wp:anchor distT="0" distB="0" distL="114300" distR="114300" simplePos="0" relativeHeight="251662336" behindDoc="0" locked="0" layoutInCell="1" allowOverlap="1" wp14:anchorId="18BD4196" wp14:editId="2F89D4B6">
                <wp:simplePos x="0" y="0"/>
                <wp:positionH relativeFrom="column">
                  <wp:posOffset>-442595</wp:posOffset>
                </wp:positionH>
                <wp:positionV relativeFrom="paragraph">
                  <wp:posOffset>107950</wp:posOffset>
                </wp:positionV>
                <wp:extent cx="6696075" cy="238125"/>
                <wp:effectExtent l="0" t="0" r="28575" b="28575"/>
                <wp:wrapNone/>
                <wp:docPr id="471710044" name="Rectangle 19"/>
                <wp:cNvGraphicFramePr/>
                <a:graphic xmlns:a="http://schemas.openxmlformats.org/drawingml/2006/main">
                  <a:graphicData uri="http://schemas.microsoft.com/office/word/2010/wordprocessingShape">
                    <wps:wsp>
                      <wps:cNvSpPr/>
                      <wps:spPr>
                        <a:xfrm>
                          <a:off x="0" y="0"/>
                          <a:ext cx="6696075" cy="2381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69DBB2" id="Rectangle 19" o:spid="_x0000_s1026" style="position:absolute;margin-left:-34.85pt;margin-top:8.5pt;width:527.25pt;height:18.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" filled="f" strokecolor="#091723 [484]" strokeweight="1pt"/>
            </w:pict>
          </mc:Fallback>
        </mc:AlternateContent>
      </w:r>
    </w:p>
    <w:tbl>
      <w:tblPr>
        <w:tblW w:w="10501" w:type="dxa"/>
        <w:tblInd w:w="-702" w:type="dxa"/>
        <w:tblLook w:val="04A0" w:firstRow="1" w:lastRow="0" w:firstColumn="1" w:lastColumn="0" w:noHBand="0" w:noVBand="1"/>
      </w:tblPr>
      <w:tblGrid>
        <w:gridCol w:w="10501"/>
      </w:tblGrid>
      <w:tr w:rsidR="00316157" w:rsidRPr="005D5075" w14:paraId="32F317A1" w14:textId="77777777" w:rsidTr="00181368">
        <w:trPr>
          <w:trHeight w:val="247"/>
        </w:trPr>
        <w:tc>
          <w:tcPr>
            <w:tcW w:w="10501" w:type="dxa"/>
          </w:tcPr>
          <w:p w14:paraId="724DEFBD" w14:textId="77777777" w:rsidR="00316157" w:rsidRPr="005D5075" w:rsidRDefault="00316157" w:rsidP="00181368">
            <w:pPr>
              <w:jc w:val="center"/>
              <w:rPr>
                <w:rFonts w:ascii="Sto TT" w:eastAsia="Verdana" w:hAnsi="Sto TT" w:cs="Arial"/>
                <w:b/>
                <w:bCs/>
                <w:color w:val="2F5496" w:themeColor="accent5" w:themeShade="BF"/>
                <w:sz w:val="22"/>
                <w:szCs w:val="22"/>
              </w:rPr>
            </w:pPr>
            <w:r w:rsidRPr="005D5075">
              <w:rPr>
                <w:rFonts w:ascii="Sto TT" w:eastAsia="Verdana" w:hAnsi="Sto TT" w:cs="Arial"/>
                <w:b/>
                <w:bCs/>
                <w:color w:val="2F5496" w:themeColor="accent5" w:themeShade="BF"/>
                <w:sz w:val="22"/>
                <w:szCs w:val="22"/>
              </w:rPr>
              <w:t>Travaux Préparatoires</w:t>
            </w:r>
          </w:p>
        </w:tc>
      </w:tr>
    </w:tbl>
    <w:p w14:paraId="32DE399B" w14:textId="77777777" w:rsidR="00316157" w:rsidRPr="005D5075" w:rsidRDefault="00316157" w:rsidP="00316157">
      <w:pPr>
        <w:ind w:left="-709" w:right="1"/>
        <w:jc w:val="both"/>
        <w:rPr>
          <w:rFonts w:ascii="Sto TT" w:eastAsia="Verdana" w:hAnsi="Sto TT" w:cs="Arial"/>
          <w:b/>
          <w:bCs/>
          <w:sz w:val="18"/>
          <w:szCs w:val="18"/>
        </w:rPr>
      </w:pPr>
    </w:p>
    <w:p w14:paraId="1254B90B" w14:textId="77777777" w:rsidR="00316157" w:rsidRPr="005D5075" w:rsidRDefault="00316157" w:rsidP="00316157">
      <w:pPr>
        <w:ind w:left="-709"/>
        <w:jc w:val="both"/>
        <w:rPr>
          <w:rFonts w:ascii="Sto TT" w:eastAsia="Verdana" w:hAnsi="Sto TT" w:cs="Arial"/>
          <w:sz w:val="18"/>
          <w:szCs w:val="18"/>
        </w:rPr>
      </w:pPr>
    </w:p>
    <w:p w14:paraId="574B8448" w14:textId="77777777" w:rsidR="00316157" w:rsidRPr="005D5075" w:rsidRDefault="00316157" w:rsidP="00316157">
      <w:pPr>
        <w:ind w:left="-709" w:right="1"/>
        <w:jc w:val="both"/>
        <w:rPr>
          <w:rFonts w:ascii="Sto TT" w:eastAsia="Verdana" w:hAnsi="Sto TT" w:cs="Arial"/>
          <w:b/>
          <w:bCs/>
          <w:sz w:val="18"/>
          <w:szCs w:val="18"/>
          <w:u w:val="single"/>
        </w:rPr>
      </w:pPr>
      <w:r w:rsidRPr="005D5075">
        <w:rPr>
          <w:rFonts w:ascii="Sto TT" w:eastAsia="Verdana" w:hAnsi="Sto TT" w:cs="Arial"/>
          <w:b/>
          <w:bCs/>
          <w:sz w:val="18"/>
          <w:szCs w:val="18"/>
          <w:u w:val="single"/>
        </w:rPr>
        <w:t xml:space="preserve">Réparation des bétons avec la gamme </w:t>
      </w:r>
      <w:proofErr w:type="spellStart"/>
      <w:r w:rsidRPr="005D5075">
        <w:rPr>
          <w:rFonts w:ascii="Sto TT" w:eastAsia="Verdana" w:hAnsi="Sto TT" w:cs="Arial"/>
          <w:b/>
          <w:bCs/>
          <w:sz w:val="18"/>
          <w:szCs w:val="18"/>
          <w:u w:val="single"/>
        </w:rPr>
        <w:t>StoCrete</w:t>
      </w:r>
      <w:proofErr w:type="spellEnd"/>
      <w:r w:rsidRPr="005D5075">
        <w:rPr>
          <w:rFonts w:ascii="Sto TT" w:eastAsia="Verdana" w:hAnsi="Sto TT" w:cs="Arial"/>
          <w:b/>
          <w:bCs/>
          <w:sz w:val="18"/>
          <w:szCs w:val="18"/>
          <w:u w:val="single"/>
        </w:rPr>
        <w:t xml:space="preserve"> </w:t>
      </w:r>
    </w:p>
    <w:p w14:paraId="071E9B39" w14:textId="77777777" w:rsidR="00316157" w:rsidRPr="005D5075" w:rsidRDefault="00316157" w:rsidP="00316157">
      <w:pPr>
        <w:ind w:left="-709" w:right="1"/>
        <w:jc w:val="both"/>
        <w:rPr>
          <w:rFonts w:ascii="Sto TT" w:eastAsia="Verdana" w:hAnsi="Sto TT" w:cs="Arial"/>
          <w:b/>
          <w:bCs/>
          <w:sz w:val="18"/>
          <w:szCs w:val="18"/>
        </w:rPr>
      </w:pPr>
      <w:r w:rsidRPr="005D5075">
        <w:rPr>
          <w:rFonts w:ascii="Sto TT" w:eastAsia="Verdana" w:hAnsi="Sto TT" w:cs="Arial"/>
          <w:b/>
          <w:bCs/>
          <w:sz w:val="18"/>
          <w:szCs w:val="18"/>
        </w:rPr>
        <w:t>NB : La réparation du support n’est nécessaire qu’au droit des équerres pour leur assurer un appui pérenne.</w:t>
      </w:r>
    </w:p>
    <w:p w14:paraId="3C357DC0" w14:textId="77777777" w:rsidR="00316157" w:rsidRPr="005D5075" w:rsidRDefault="00316157" w:rsidP="00316157">
      <w:pPr>
        <w:ind w:left="-709" w:right="1"/>
        <w:jc w:val="both"/>
        <w:rPr>
          <w:rFonts w:ascii="Sto TT" w:eastAsia="Verdana" w:hAnsi="Sto TT" w:cs="Arial"/>
          <w:sz w:val="18"/>
          <w:szCs w:val="18"/>
          <w:u w:val="single"/>
        </w:rPr>
      </w:pPr>
    </w:p>
    <w:p w14:paraId="6B25F063"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Préalablement à la mise en œuvre du système, toutes les parties de béton dégradées, éclatées, fissurées ou présentant un quelconque défaut devront être purgées mécaniquement.</w:t>
      </w:r>
    </w:p>
    <w:p w14:paraId="2983E44D"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 xml:space="preserve">Les surfaces seront ensuite reconstituées et redressées au droit des appuis des équerres à l’aide de mortiers de réparation adaptés de la gamme </w:t>
      </w: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de façon à garantir la planéité et la capacité portante requises pour la fixation du système de bardage</w:t>
      </w:r>
    </w:p>
    <w:p w14:paraId="43DA2BD3" w14:textId="77777777" w:rsidR="00316157" w:rsidRPr="005D5075" w:rsidRDefault="00316157" w:rsidP="00316157">
      <w:pPr>
        <w:ind w:left="-709" w:right="1"/>
        <w:jc w:val="both"/>
        <w:rPr>
          <w:rFonts w:ascii="Sto TT" w:eastAsia="Verdana" w:hAnsi="Sto TT" w:cs="Arial"/>
          <w:sz w:val="18"/>
          <w:szCs w:val="18"/>
        </w:rPr>
      </w:pPr>
    </w:p>
    <w:p w14:paraId="23D00CEE"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Dans le cas d’armatures apparentes, elles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14:paraId="7F8CC0AD" w14:textId="77777777" w:rsidR="00316157" w:rsidRPr="005D5075" w:rsidRDefault="00316157" w:rsidP="00316157">
      <w:pPr>
        <w:ind w:left="-709" w:right="1"/>
        <w:jc w:val="both"/>
        <w:rPr>
          <w:rFonts w:ascii="Sto TT" w:eastAsia="Verdana" w:hAnsi="Sto TT" w:cs="Arial"/>
          <w:sz w:val="18"/>
          <w:szCs w:val="18"/>
        </w:rPr>
      </w:pPr>
    </w:p>
    <w:p w14:paraId="55C8B238" w14:textId="77777777" w:rsidR="00316157" w:rsidRPr="005D5075" w:rsidRDefault="00316157" w:rsidP="00560418">
      <w:pPr>
        <w:numPr>
          <w:ilvl w:val="0"/>
          <w:numId w:val="12"/>
        </w:numPr>
        <w:ind w:right="1"/>
        <w:jc w:val="both"/>
        <w:rPr>
          <w:rFonts w:ascii="Sto TT" w:eastAsia="Verdana" w:hAnsi="Sto TT" w:cs="Arial"/>
          <w:b/>
          <w:bCs/>
          <w:sz w:val="18"/>
          <w:szCs w:val="18"/>
        </w:rPr>
      </w:pPr>
      <w:r w:rsidRPr="005D5075">
        <w:rPr>
          <w:rFonts w:ascii="Sto TT" w:eastAsia="Verdana" w:hAnsi="Sto TT" w:cs="Arial"/>
          <w:sz w:val="18"/>
          <w:szCs w:val="18"/>
        </w:rPr>
        <w:t xml:space="preserve">Passivant : </w:t>
      </w: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xml:space="preserve"> TK une barbotine cimentaire contenant des adjuvants, destinée à protéger l’acier contre la corrosion. La consommation est estimée entre 150 et 200 g/ml pour un acier de 12 mm de diamètre.</w:t>
      </w:r>
    </w:p>
    <w:p w14:paraId="0F69F479" w14:textId="77777777" w:rsidR="00316157" w:rsidRPr="005D5075" w:rsidRDefault="00316157" w:rsidP="00316157">
      <w:pPr>
        <w:ind w:left="11" w:right="1"/>
        <w:jc w:val="both"/>
        <w:rPr>
          <w:rFonts w:ascii="Sto TT" w:eastAsia="Verdana" w:hAnsi="Sto TT" w:cs="Arial"/>
          <w:b/>
          <w:bCs/>
          <w:sz w:val="18"/>
          <w:szCs w:val="18"/>
        </w:rPr>
      </w:pPr>
    </w:p>
    <w:p w14:paraId="6ED48F89"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Pour la réparation et le reprofilage des ouvrages en béton, plusieurs solutions sont possibles selon les besoins du chantier :</w:t>
      </w:r>
    </w:p>
    <w:p w14:paraId="6B9362D8" w14:textId="77777777" w:rsidR="00316157" w:rsidRPr="005D5075" w:rsidRDefault="00316157" w:rsidP="00316157">
      <w:pPr>
        <w:numPr>
          <w:ilvl w:val="0"/>
          <w:numId w:val="2"/>
        </w:numPr>
        <w:ind w:right="1"/>
        <w:jc w:val="both"/>
        <w:rPr>
          <w:rFonts w:ascii="Sto TT" w:eastAsia="Verdana" w:hAnsi="Sto TT" w:cs="Arial"/>
          <w:sz w:val="18"/>
          <w:szCs w:val="18"/>
        </w:rPr>
      </w:pP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xml:space="preserve"> SM 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R2 selon la norme NF EN 1504-03.</w:t>
      </w:r>
    </w:p>
    <w:p w14:paraId="1043DDDA" w14:textId="77777777" w:rsidR="00316157" w:rsidRPr="005D5075" w:rsidRDefault="00316157" w:rsidP="00316157">
      <w:pPr>
        <w:ind w:left="11" w:right="1"/>
        <w:jc w:val="both"/>
        <w:rPr>
          <w:rFonts w:ascii="Sto TT" w:eastAsia="Verdana" w:hAnsi="Sto TT" w:cs="Arial"/>
          <w:sz w:val="18"/>
          <w:szCs w:val="18"/>
        </w:rPr>
      </w:pPr>
    </w:p>
    <w:p w14:paraId="16A29E88" w14:textId="77777777" w:rsidR="00316157" w:rsidRPr="005D5075" w:rsidRDefault="00316157" w:rsidP="00316157">
      <w:pPr>
        <w:numPr>
          <w:ilvl w:val="0"/>
          <w:numId w:val="2"/>
        </w:numPr>
        <w:ind w:right="1"/>
        <w:jc w:val="both"/>
        <w:rPr>
          <w:rFonts w:ascii="Sto TT" w:eastAsia="Verdana" w:hAnsi="Sto TT" w:cs="Arial"/>
          <w:sz w:val="18"/>
          <w:szCs w:val="18"/>
        </w:rPr>
      </w:pP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xml:space="preserve"> SM P reprend les mêmes caractéristiques que le </w:t>
      </w: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xml:space="preserve"> SM, mais intègre une protection anticorrosion directement dans sa formulation. Il est donc particulièrement adapté aux réparations où la protection des armatures est nécessaire sans recourir à un passivant </w:t>
      </w:r>
      <w:proofErr w:type="gramStart"/>
      <w:r w:rsidRPr="005D5075">
        <w:rPr>
          <w:rFonts w:ascii="Sto TT" w:eastAsia="Verdana" w:hAnsi="Sto TT" w:cs="Arial"/>
          <w:sz w:val="18"/>
          <w:szCs w:val="18"/>
        </w:rPr>
        <w:t>séparé</w:t>
      </w:r>
      <w:proofErr w:type="gramEnd"/>
      <w:r w:rsidRPr="005D5075">
        <w:rPr>
          <w:rFonts w:ascii="Sto TT" w:eastAsia="Verdana" w:hAnsi="Sto TT" w:cs="Arial"/>
          <w:sz w:val="18"/>
          <w:szCs w:val="18"/>
        </w:rPr>
        <w:t xml:space="preserve">. Son mode de préparation, d’application et de consommation est identique à celui du </w:t>
      </w: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xml:space="preserve"> SM. Il est également classé R2 selon la norme NF EN 1504-03.</w:t>
      </w:r>
    </w:p>
    <w:p w14:paraId="77A892EE" w14:textId="77777777" w:rsidR="00316157" w:rsidRPr="005D5075" w:rsidRDefault="00316157" w:rsidP="00316157">
      <w:pPr>
        <w:jc w:val="both"/>
        <w:rPr>
          <w:rFonts w:ascii="Sto TT" w:eastAsia="Verdana" w:hAnsi="Sto TT" w:cs="Arial"/>
          <w:sz w:val="18"/>
          <w:szCs w:val="18"/>
        </w:rPr>
      </w:pPr>
    </w:p>
    <w:p w14:paraId="1919B843" w14:textId="77777777" w:rsidR="00316157" w:rsidRPr="005D5075" w:rsidRDefault="00316157" w:rsidP="00316157">
      <w:pPr>
        <w:numPr>
          <w:ilvl w:val="0"/>
          <w:numId w:val="2"/>
        </w:numPr>
        <w:ind w:right="1"/>
        <w:jc w:val="both"/>
        <w:rPr>
          <w:rFonts w:ascii="Sto TT" w:eastAsia="Verdana" w:hAnsi="Sto TT" w:cs="Arial"/>
          <w:sz w:val="18"/>
          <w:szCs w:val="18"/>
        </w:rPr>
      </w:pPr>
      <w:proofErr w:type="spellStart"/>
      <w:r w:rsidRPr="005D5075">
        <w:rPr>
          <w:rFonts w:ascii="Sto TT" w:eastAsia="Verdana" w:hAnsi="Sto TT" w:cs="Arial"/>
          <w:sz w:val="18"/>
          <w:szCs w:val="18"/>
        </w:rPr>
        <w:t>StoCrete</w:t>
      </w:r>
      <w:proofErr w:type="spellEnd"/>
      <w:r w:rsidRPr="005D5075">
        <w:rPr>
          <w:rFonts w:ascii="Sto TT" w:eastAsia="Verdana" w:hAnsi="Sto TT" w:cs="Arial"/>
          <w:sz w:val="18"/>
          <w:szCs w:val="18"/>
        </w:rPr>
        <w:t xml:space="preserve"> RM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 R3 selon la norme NF EN 1504-03 et conforme à la norme NF P18-840.</w:t>
      </w:r>
    </w:p>
    <w:p w14:paraId="0ABEA94D" w14:textId="77777777" w:rsidR="00316157" w:rsidRPr="005D5075" w:rsidRDefault="00316157" w:rsidP="00316157">
      <w:pPr>
        <w:rPr>
          <w:rFonts w:ascii="Sto TT" w:eastAsia="Verdana" w:hAnsi="Sto TT" w:cs="Arial"/>
          <w:sz w:val="18"/>
          <w:szCs w:val="18"/>
        </w:rPr>
      </w:pPr>
    </w:p>
    <w:p w14:paraId="4F71A2F9" w14:textId="77777777" w:rsidR="00316157" w:rsidRPr="005D5075" w:rsidRDefault="00316157" w:rsidP="00316157">
      <w:pPr>
        <w:ind w:left="11" w:right="1"/>
        <w:jc w:val="both"/>
        <w:rPr>
          <w:rFonts w:ascii="Sto TT" w:eastAsia="Verdana" w:hAnsi="Sto TT" w:cs="Arial"/>
          <w:sz w:val="18"/>
          <w:szCs w:val="18"/>
        </w:rPr>
      </w:pPr>
    </w:p>
    <w:p w14:paraId="5586068B" w14:textId="77777777" w:rsidR="00316157" w:rsidRPr="005D5075" w:rsidRDefault="00316157" w:rsidP="00316157">
      <w:pPr>
        <w:ind w:left="11"/>
        <w:jc w:val="center"/>
        <w:rPr>
          <w:rFonts w:ascii="Sto TT" w:eastAsia="Verdana" w:hAnsi="Sto TT" w:cs="Arial"/>
          <w:b/>
          <w:bCs/>
          <w:color w:val="2F5496" w:themeColor="accent5" w:themeShade="BF"/>
          <w:sz w:val="36"/>
          <w:szCs w:val="36"/>
        </w:rPr>
      </w:pPr>
      <w:proofErr w:type="spellStart"/>
      <w:r w:rsidRPr="005D5075">
        <w:rPr>
          <w:rFonts w:ascii="Sto TT" w:eastAsia="Verdana" w:hAnsi="Sto TT" w:cs="Arial"/>
          <w:color w:val="2F5496" w:themeColor="accent5" w:themeShade="BF"/>
          <w:sz w:val="36"/>
          <w:szCs w:val="36"/>
        </w:rPr>
        <w:t>StoVentec</w:t>
      </w:r>
      <w:proofErr w:type="spellEnd"/>
      <w:r w:rsidRPr="005D5075">
        <w:rPr>
          <w:rFonts w:ascii="Sto TT" w:eastAsia="Verdana" w:hAnsi="Sto TT" w:cs="Arial"/>
          <w:color w:val="2F5496" w:themeColor="accent5" w:themeShade="BF"/>
          <w:sz w:val="36"/>
          <w:szCs w:val="36"/>
        </w:rPr>
        <w:t xml:space="preserve"> Fibre Ciment</w:t>
      </w:r>
    </w:p>
    <w:p w14:paraId="11B5E568" w14:textId="77777777" w:rsidR="00316157" w:rsidRPr="005D5075" w:rsidRDefault="00316157" w:rsidP="00316157">
      <w:pPr>
        <w:ind w:left="11"/>
        <w:jc w:val="center"/>
        <w:rPr>
          <w:rFonts w:ascii="Sto TT" w:eastAsia="Verdana" w:hAnsi="Sto TT" w:cs="Arial"/>
          <w:b/>
          <w:bCs/>
          <w:color w:val="767171" w:themeColor="background2" w:themeShade="80"/>
        </w:rPr>
      </w:pPr>
      <w:r w:rsidRPr="005D5075">
        <w:rPr>
          <w:rFonts w:ascii="Sto TT" w:eastAsia="Verdana" w:hAnsi="Sto TT" w:cs="Arial"/>
          <w:sz w:val="22"/>
          <w:szCs w:val="22"/>
        </w:rPr>
        <w:t>Isolant laine minérale</w:t>
      </w:r>
      <w:r w:rsidRPr="005D5075">
        <w:rPr>
          <w:rFonts w:ascii="Sto TT" w:eastAsia="Verdana" w:hAnsi="Sto TT" w:cs="Arial"/>
          <w:sz w:val="22"/>
          <w:szCs w:val="22"/>
        </w:rPr>
        <w:br/>
      </w:r>
      <w:r w:rsidRPr="005D5075">
        <w:rPr>
          <w:rFonts w:ascii="Sto TT" w:eastAsia="Verdana" w:hAnsi="Sto TT" w:cs="Arial"/>
          <w:color w:val="767171" w:themeColor="background2" w:themeShade="80"/>
        </w:rPr>
        <w:t>(QB 54– Classement Feu A2-s1, d0)</w:t>
      </w:r>
    </w:p>
    <w:p w14:paraId="0A2E7145" w14:textId="77777777" w:rsidR="00316157" w:rsidRPr="005D5075" w:rsidRDefault="00316157" w:rsidP="00316157">
      <w:pPr>
        <w:ind w:left="11"/>
        <w:jc w:val="center"/>
        <w:rPr>
          <w:rFonts w:ascii="Sto TT" w:eastAsia="Verdana" w:hAnsi="Sto TT" w:cs="Arial"/>
          <w:b/>
          <w:bCs/>
          <w:color w:val="767171" w:themeColor="background2" w:themeShade="80"/>
        </w:rPr>
      </w:pPr>
    </w:p>
    <w:p w14:paraId="32BC172B" w14:textId="77777777" w:rsidR="00316157" w:rsidRPr="005D5075" w:rsidRDefault="00316157" w:rsidP="00316157">
      <w:pPr>
        <w:rPr>
          <w:rFonts w:ascii="Sto TT" w:eastAsia="Verdana" w:hAnsi="Sto TT" w:cs="Arial"/>
          <w:sz w:val="18"/>
          <w:szCs w:val="18"/>
        </w:rPr>
      </w:pPr>
      <w:r>
        <w:rPr>
          <w:rFonts w:ascii="Sto TT" w:hAnsi="Sto TT" w:cs="Arial"/>
          <w:bCs/>
          <w:noProof/>
          <w:sz w:val="2"/>
          <w:szCs w:val="2"/>
        </w:rPr>
        <mc:AlternateContent>
          <mc:Choice Requires="wps">
            <w:drawing>
              <wp:anchor distT="0" distB="0" distL="114300" distR="114300" simplePos="0" relativeHeight="251663360" behindDoc="0" locked="0" layoutInCell="1" allowOverlap="1" wp14:anchorId="55B20CF4" wp14:editId="2AA7C761">
                <wp:simplePos x="0" y="0"/>
                <wp:positionH relativeFrom="margin">
                  <wp:align>right</wp:align>
                </wp:positionH>
                <wp:positionV relativeFrom="paragraph">
                  <wp:posOffset>226060</wp:posOffset>
                </wp:positionV>
                <wp:extent cx="6696075" cy="238125"/>
                <wp:effectExtent l="0" t="0" r="28575" b="28575"/>
                <wp:wrapNone/>
                <wp:docPr id="713365102" name="Rectangle 19"/>
                <wp:cNvGraphicFramePr/>
                <a:graphic xmlns:a="http://schemas.openxmlformats.org/drawingml/2006/main">
                  <a:graphicData uri="http://schemas.microsoft.com/office/word/2010/wordprocessingShape">
                    <wps:wsp>
                      <wps:cNvSpPr/>
                      <wps:spPr>
                        <a:xfrm>
                          <a:off x="0" y="0"/>
                          <a:ext cx="6696075" cy="2381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C458EA" id="Rectangle 19" o:spid="_x0000_s1026" style="position:absolute;margin-left:476.05pt;margin-top:17.8pt;width:527.25pt;height:18.7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" filled="f" strokecolor="#091723 [484]" strokeweight="1pt">
                <w10:wrap anchorx="margin"/>
              </v:rect>
            </w:pict>
          </mc:Fallback>
        </mc:AlternateContent>
      </w:r>
    </w:p>
    <w:p w14:paraId="74D1A1D0" w14:textId="77777777" w:rsidR="00316157" w:rsidRPr="005D5075" w:rsidRDefault="00316157" w:rsidP="00316157">
      <w:pPr>
        <w:rPr>
          <w:rFonts w:ascii="Sto TT" w:eastAsia="Verdana" w:hAnsi="Sto TT" w:cs="Arial"/>
          <w:sz w:val="18"/>
          <w:szCs w:val="18"/>
        </w:rPr>
      </w:pPr>
    </w:p>
    <w:tbl>
      <w:tblPr>
        <w:tblW w:w="10330" w:type="dxa"/>
        <w:tblInd w:w="-714" w:type="dxa"/>
        <w:tblLook w:val="04A0" w:firstRow="1" w:lastRow="0" w:firstColumn="1" w:lastColumn="0" w:noHBand="0" w:noVBand="1"/>
      </w:tblPr>
      <w:tblGrid>
        <w:gridCol w:w="10330"/>
      </w:tblGrid>
      <w:tr w:rsidR="00316157" w:rsidRPr="005D5075" w14:paraId="2151B84E" w14:textId="77777777" w:rsidTr="00181368">
        <w:trPr>
          <w:trHeight w:val="247"/>
        </w:trPr>
        <w:tc>
          <w:tcPr>
            <w:tcW w:w="10330" w:type="dxa"/>
          </w:tcPr>
          <w:p w14:paraId="2939968F" w14:textId="77777777" w:rsidR="00316157" w:rsidRPr="005D5075" w:rsidRDefault="00316157" w:rsidP="00181368">
            <w:pPr>
              <w:jc w:val="center"/>
              <w:rPr>
                <w:rFonts w:ascii="Sto TT" w:eastAsia="Verdana" w:hAnsi="Sto TT" w:cs="Arial"/>
                <w:b/>
                <w:bCs/>
                <w:color w:val="2F5496" w:themeColor="accent5" w:themeShade="BF"/>
                <w:sz w:val="22"/>
                <w:szCs w:val="22"/>
              </w:rPr>
            </w:pPr>
            <w:r w:rsidRPr="005D5075">
              <w:rPr>
                <w:rFonts w:ascii="Sto TT" w:eastAsia="Verdana" w:hAnsi="Sto TT" w:cs="Arial"/>
                <w:b/>
                <w:bCs/>
                <w:color w:val="2F5496" w:themeColor="accent5" w:themeShade="BF"/>
                <w:sz w:val="22"/>
                <w:szCs w:val="22"/>
              </w:rPr>
              <w:t>Finitions et performances</w:t>
            </w:r>
          </w:p>
        </w:tc>
      </w:tr>
    </w:tbl>
    <w:p w14:paraId="57183F55" w14:textId="77777777" w:rsidR="00316157" w:rsidRPr="005D5075" w:rsidRDefault="00316157" w:rsidP="00316157">
      <w:pPr>
        <w:ind w:left="-709"/>
        <w:jc w:val="both"/>
        <w:rPr>
          <w:rFonts w:ascii="Sto TT" w:eastAsia="Verdana" w:hAnsi="Sto TT" w:cs="Arial"/>
          <w:b/>
          <w:bCs/>
          <w:sz w:val="18"/>
          <w:szCs w:val="18"/>
        </w:rPr>
      </w:pPr>
    </w:p>
    <w:p w14:paraId="58428628" w14:textId="77777777" w:rsidR="00316157" w:rsidRPr="005D5075" w:rsidRDefault="00316157" w:rsidP="00316157">
      <w:pPr>
        <w:ind w:left="-709"/>
        <w:jc w:val="both"/>
        <w:rPr>
          <w:rFonts w:ascii="Sto TT" w:eastAsia="Verdana" w:hAnsi="Sto TT" w:cs="Arial"/>
          <w:b/>
          <w:bCs/>
          <w:sz w:val="18"/>
          <w:szCs w:val="18"/>
          <w:u w:val="single"/>
        </w:rPr>
      </w:pPr>
      <w:proofErr w:type="gramStart"/>
      <w:r w:rsidRPr="005D5075">
        <w:rPr>
          <w:rFonts w:ascii="Sto TT" w:eastAsia="Verdana" w:hAnsi="Sto TT" w:cs="Arial"/>
          <w:b/>
          <w:bCs/>
          <w:sz w:val="18"/>
          <w:szCs w:val="18"/>
          <w:u w:val="single"/>
        </w:rPr>
        <w:t>Description:</w:t>
      </w:r>
      <w:proofErr w:type="gramEnd"/>
      <w:r w:rsidRPr="005D5075">
        <w:rPr>
          <w:rFonts w:ascii="Sto TT" w:eastAsia="Verdana" w:hAnsi="Sto TT" w:cs="Arial"/>
          <w:b/>
          <w:bCs/>
          <w:sz w:val="18"/>
          <w:szCs w:val="18"/>
          <w:u w:val="single"/>
        </w:rPr>
        <w:t xml:space="preserve"> </w:t>
      </w:r>
    </w:p>
    <w:p w14:paraId="0B21840D"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Panneaux de haute densité (HD) à base de fibres-ciment nouvelle génération (sans amiante). Disponible en épaisseur de 8 ou 10 mm, les plaques sont imputrescibles et incombustibles (A2-s1, d0), la masse</w:t>
      </w:r>
      <w:r w:rsidRPr="005D5075">
        <w:rPr>
          <w:rFonts w:ascii="Sto TT" w:eastAsia="Verdana" w:hAnsi="Sto TT" w:cs="Arial"/>
          <w:b/>
          <w:bCs/>
          <w:sz w:val="18"/>
          <w:szCs w:val="18"/>
        </w:rPr>
        <w:t xml:space="preserve"> </w:t>
      </w:r>
      <w:r w:rsidRPr="005D5075">
        <w:rPr>
          <w:rFonts w:ascii="Sto TT" w:eastAsia="Verdana" w:hAnsi="Sto TT" w:cs="Arial"/>
          <w:sz w:val="18"/>
          <w:szCs w:val="18"/>
        </w:rPr>
        <w:t>combustible pour le panneau 8mm de 18.72MJ/m² et 23.4 MJ/m² pour le 10mm.</w:t>
      </w:r>
    </w:p>
    <w:p w14:paraId="1FD3A032" w14:textId="77777777" w:rsidR="00316157" w:rsidRPr="005D5075" w:rsidRDefault="00316157" w:rsidP="00316157">
      <w:pPr>
        <w:ind w:left="-709"/>
        <w:jc w:val="both"/>
        <w:rPr>
          <w:rFonts w:ascii="Sto TT" w:eastAsia="Verdana" w:hAnsi="Sto TT" w:cs="Arial"/>
          <w:sz w:val="18"/>
          <w:szCs w:val="18"/>
        </w:rPr>
      </w:pPr>
    </w:p>
    <w:p w14:paraId="14B55DDB"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Formats disponibles en épaisseur 8 et 10 mm :</w:t>
      </w:r>
    </w:p>
    <w:p w14:paraId="0CDE5D2C" w14:textId="77777777" w:rsidR="00316157" w:rsidRPr="005D5075" w:rsidRDefault="00316157" w:rsidP="00560418">
      <w:pPr>
        <w:numPr>
          <w:ilvl w:val="0"/>
          <w:numId w:val="9"/>
        </w:numPr>
        <w:jc w:val="both"/>
        <w:rPr>
          <w:rFonts w:ascii="Sto TT" w:eastAsia="Verdana" w:hAnsi="Sto TT" w:cs="Arial"/>
          <w:sz w:val="18"/>
          <w:szCs w:val="18"/>
        </w:rPr>
      </w:pPr>
      <w:r w:rsidRPr="005D5075">
        <w:rPr>
          <w:rFonts w:ascii="Sto TT" w:eastAsia="Verdana" w:hAnsi="Sto TT" w:cs="Arial"/>
          <w:sz w:val="18"/>
          <w:szCs w:val="18"/>
        </w:rPr>
        <w:t>1250 x 3050 mm</w:t>
      </w:r>
    </w:p>
    <w:p w14:paraId="49A926D1" w14:textId="77777777" w:rsidR="00316157" w:rsidRPr="005D5075" w:rsidRDefault="00316157" w:rsidP="00560418">
      <w:pPr>
        <w:numPr>
          <w:ilvl w:val="0"/>
          <w:numId w:val="9"/>
        </w:numPr>
        <w:jc w:val="both"/>
        <w:rPr>
          <w:rFonts w:ascii="Sto TT" w:eastAsia="Verdana" w:hAnsi="Sto TT" w:cs="Arial"/>
          <w:sz w:val="18"/>
          <w:szCs w:val="18"/>
        </w:rPr>
      </w:pPr>
      <w:r w:rsidRPr="005D5075">
        <w:rPr>
          <w:rFonts w:ascii="Sto TT" w:eastAsia="Verdana" w:hAnsi="Sto TT" w:cs="Arial"/>
          <w:sz w:val="18"/>
          <w:szCs w:val="18"/>
        </w:rPr>
        <w:t>1250 x 3000 mm</w:t>
      </w:r>
    </w:p>
    <w:p w14:paraId="794304DA" w14:textId="77777777" w:rsidR="00316157" w:rsidRPr="005D5075" w:rsidRDefault="00316157" w:rsidP="00560418">
      <w:pPr>
        <w:numPr>
          <w:ilvl w:val="0"/>
          <w:numId w:val="9"/>
        </w:numPr>
        <w:jc w:val="both"/>
        <w:rPr>
          <w:rFonts w:ascii="Sto TT" w:eastAsia="Verdana" w:hAnsi="Sto TT" w:cs="Arial"/>
          <w:sz w:val="18"/>
          <w:szCs w:val="18"/>
        </w:rPr>
      </w:pPr>
      <w:r w:rsidRPr="005D5075">
        <w:rPr>
          <w:rFonts w:ascii="Sto TT" w:eastAsia="Verdana" w:hAnsi="Sto TT" w:cs="Arial"/>
          <w:sz w:val="18"/>
          <w:szCs w:val="18"/>
        </w:rPr>
        <w:t>1250 x 2500 mm</w:t>
      </w:r>
    </w:p>
    <w:p w14:paraId="1B1E12BD" w14:textId="77777777" w:rsidR="00316157" w:rsidRPr="005D5075" w:rsidRDefault="00316157" w:rsidP="00560418">
      <w:pPr>
        <w:numPr>
          <w:ilvl w:val="0"/>
          <w:numId w:val="9"/>
        </w:numPr>
        <w:jc w:val="both"/>
        <w:rPr>
          <w:rFonts w:ascii="Sto TT" w:eastAsia="Verdana" w:hAnsi="Sto TT" w:cs="Arial"/>
          <w:sz w:val="18"/>
          <w:szCs w:val="18"/>
        </w:rPr>
      </w:pPr>
      <w:r w:rsidRPr="005D5075">
        <w:rPr>
          <w:rFonts w:ascii="Sto TT" w:eastAsia="Verdana" w:hAnsi="Sto TT" w:cs="Arial"/>
          <w:sz w:val="18"/>
          <w:szCs w:val="18"/>
        </w:rPr>
        <w:t xml:space="preserve">1200 x 3050 mm </w:t>
      </w:r>
    </w:p>
    <w:p w14:paraId="6BC193BB" w14:textId="77777777" w:rsidR="00316157" w:rsidRPr="005D5075" w:rsidRDefault="00316157" w:rsidP="00560418">
      <w:pPr>
        <w:numPr>
          <w:ilvl w:val="0"/>
          <w:numId w:val="9"/>
        </w:numPr>
        <w:jc w:val="both"/>
        <w:rPr>
          <w:rFonts w:ascii="Sto TT" w:eastAsia="Verdana" w:hAnsi="Sto TT" w:cs="Arial"/>
          <w:sz w:val="18"/>
          <w:szCs w:val="18"/>
        </w:rPr>
      </w:pPr>
      <w:r w:rsidRPr="005D5075">
        <w:rPr>
          <w:rFonts w:ascii="Sto TT" w:eastAsia="Verdana" w:hAnsi="Sto TT" w:cs="Arial"/>
          <w:sz w:val="18"/>
          <w:szCs w:val="18"/>
        </w:rPr>
        <w:t>1200 x 3000 mm</w:t>
      </w:r>
    </w:p>
    <w:p w14:paraId="7C4D5A2D" w14:textId="77777777" w:rsidR="00316157" w:rsidRPr="005D5075" w:rsidRDefault="00316157" w:rsidP="00560418">
      <w:pPr>
        <w:numPr>
          <w:ilvl w:val="0"/>
          <w:numId w:val="9"/>
        </w:numPr>
        <w:jc w:val="both"/>
        <w:rPr>
          <w:rFonts w:ascii="Sto TT" w:eastAsia="Verdana" w:hAnsi="Sto TT" w:cs="Arial"/>
          <w:sz w:val="18"/>
          <w:szCs w:val="18"/>
        </w:rPr>
      </w:pPr>
      <w:r w:rsidRPr="005D5075">
        <w:rPr>
          <w:rFonts w:ascii="Sto TT" w:eastAsia="Verdana" w:hAnsi="Sto TT" w:cs="Arial"/>
          <w:sz w:val="18"/>
          <w:szCs w:val="18"/>
        </w:rPr>
        <w:t xml:space="preserve">1200 x 2500 mm </w:t>
      </w:r>
    </w:p>
    <w:p w14:paraId="3E896A42" w14:textId="77777777" w:rsidR="00316157" w:rsidRPr="005D5075" w:rsidRDefault="00316157" w:rsidP="00316157">
      <w:pPr>
        <w:ind w:left="-709"/>
        <w:jc w:val="both"/>
        <w:rPr>
          <w:rFonts w:ascii="Sto TT" w:eastAsia="Verdana" w:hAnsi="Sto TT" w:cs="Arial"/>
          <w:sz w:val="18"/>
          <w:szCs w:val="18"/>
        </w:rPr>
      </w:pPr>
    </w:p>
    <w:p w14:paraId="38BE2DD5"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Les panneaux peuvent être livrés en plaques entières, délignés et équerrés ou coupés à dimension, avec ou sans pré-perçage.</w:t>
      </w:r>
    </w:p>
    <w:p w14:paraId="72F125A2" w14:textId="77777777" w:rsidR="00316157" w:rsidRPr="005D5075" w:rsidRDefault="00316157" w:rsidP="00316157">
      <w:pPr>
        <w:ind w:left="-709"/>
        <w:jc w:val="both"/>
        <w:rPr>
          <w:rFonts w:ascii="Sto TT" w:eastAsia="Verdana" w:hAnsi="Sto TT" w:cs="Arial"/>
          <w:sz w:val="18"/>
          <w:szCs w:val="18"/>
        </w:rPr>
      </w:pPr>
    </w:p>
    <w:p w14:paraId="283DAF37"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b/>
          <w:bCs/>
          <w:sz w:val="18"/>
          <w:szCs w:val="18"/>
          <w:u w:val="single"/>
        </w:rPr>
        <w:t xml:space="preserve">Les plaques fibres-ciment existent en 3 variantes : </w:t>
      </w:r>
    </w:p>
    <w:p w14:paraId="61779217"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 </w:t>
      </w:r>
      <w:proofErr w:type="spellStart"/>
      <w:r w:rsidRPr="005D5075">
        <w:rPr>
          <w:rFonts w:ascii="Sto TT" w:eastAsia="Verdana" w:hAnsi="Sto TT" w:cs="Arial"/>
          <w:sz w:val="18"/>
          <w:szCs w:val="18"/>
        </w:rPr>
        <w:t>StoFibreCement</w:t>
      </w:r>
      <w:proofErr w:type="spellEnd"/>
      <w:r w:rsidRPr="005D5075">
        <w:rPr>
          <w:rFonts w:ascii="Sto TT" w:eastAsia="Verdana" w:hAnsi="Sto TT" w:cs="Arial"/>
          <w:sz w:val="18"/>
          <w:szCs w:val="18"/>
        </w:rPr>
        <w:t xml:space="preserve"> Pure (teinté masse)</w:t>
      </w:r>
    </w:p>
    <w:p w14:paraId="432C76A3"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 </w:t>
      </w:r>
      <w:proofErr w:type="spellStart"/>
      <w:r w:rsidRPr="005D5075">
        <w:rPr>
          <w:rFonts w:ascii="Sto TT" w:eastAsia="Verdana" w:hAnsi="Sto TT" w:cs="Arial"/>
          <w:sz w:val="18"/>
          <w:szCs w:val="18"/>
        </w:rPr>
        <w:t>StoFibreCement</w:t>
      </w:r>
      <w:proofErr w:type="spellEnd"/>
      <w:r w:rsidRPr="005D5075">
        <w:rPr>
          <w:rFonts w:ascii="Sto TT" w:eastAsia="Verdana" w:hAnsi="Sto TT" w:cs="Arial"/>
          <w:sz w:val="18"/>
          <w:szCs w:val="18"/>
        </w:rPr>
        <w:t xml:space="preserve"> Pure UV (teinté masse avec protection contre UV)</w:t>
      </w:r>
    </w:p>
    <w:p w14:paraId="1BD035D7"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 </w:t>
      </w:r>
      <w:proofErr w:type="spellStart"/>
      <w:r w:rsidRPr="005D5075">
        <w:rPr>
          <w:rFonts w:ascii="Sto TT" w:eastAsia="Verdana" w:hAnsi="Sto TT" w:cs="Arial"/>
          <w:sz w:val="18"/>
          <w:szCs w:val="18"/>
        </w:rPr>
        <w:t>StoFibreCement</w:t>
      </w:r>
      <w:proofErr w:type="spellEnd"/>
      <w:r w:rsidRPr="005D5075">
        <w:rPr>
          <w:rFonts w:ascii="Sto TT" w:eastAsia="Verdana" w:hAnsi="Sto TT" w:cs="Arial"/>
          <w:sz w:val="18"/>
          <w:szCs w:val="18"/>
        </w:rPr>
        <w:t xml:space="preserve"> Coat GX (peints avec différents degrés de brillance et protection contre les graffitis)</w:t>
      </w:r>
    </w:p>
    <w:p w14:paraId="1DAE3ECB" w14:textId="77777777" w:rsidR="00316157" w:rsidRPr="005D5075" w:rsidRDefault="00316157" w:rsidP="00316157">
      <w:pPr>
        <w:ind w:left="-709"/>
        <w:jc w:val="both"/>
        <w:rPr>
          <w:rFonts w:ascii="Sto TT" w:eastAsia="Verdana" w:hAnsi="Sto TT" w:cs="Arial"/>
          <w:b/>
          <w:bCs/>
          <w:sz w:val="18"/>
          <w:szCs w:val="18"/>
          <w:u w:val="single"/>
        </w:rPr>
      </w:pPr>
    </w:p>
    <w:p w14:paraId="40ABA260"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Aspect et coloris</w:t>
      </w:r>
    </w:p>
    <w:p w14:paraId="1381124C"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Aspect et finition de surface : Lisse (00), Lissé moirée (10), Bouchardée (20), Balayé (30), Rainuré espacées (40), Balayée avec rainures espacées (45), Rainurée (50).</w:t>
      </w:r>
    </w:p>
    <w:p w14:paraId="59A7A3C8"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Les aspects 30, 40, 45 et 50 ayant une structure de surface orientée, la découpe et la pose de ces plaques impose le respect d’un sens.</w:t>
      </w:r>
    </w:p>
    <w:p w14:paraId="0F431603" w14:textId="77777777" w:rsidR="00316157" w:rsidRPr="005D5075" w:rsidRDefault="00316157" w:rsidP="00316157">
      <w:pPr>
        <w:ind w:left="-709"/>
        <w:jc w:val="both"/>
        <w:rPr>
          <w:rFonts w:ascii="Sto TT" w:eastAsia="Verdana" w:hAnsi="Sto TT" w:cs="Arial"/>
          <w:sz w:val="18"/>
          <w:szCs w:val="18"/>
        </w:rPr>
      </w:pPr>
    </w:p>
    <w:p w14:paraId="1BB02937"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Résistance aux chocs</w:t>
      </w:r>
    </w:p>
    <w:p w14:paraId="5029D854" w14:textId="77777777" w:rsidR="00316157" w:rsidRPr="005D5075" w:rsidRDefault="00316157" w:rsidP="00316157">
      <w:pPr>
        <w:ind w:left="-709"/>
        <w:jc w:val="both"/>
        <w:rPr>
          <w:rFonts w:ascii="Sto TT" w:eastAsia="Verdana" w:hAnsi="Sto TT" w:cs="Arial"/>
          <w:sz w:val="18"/>
          <w:szCs w:val="18"/>
        </w:rPr>
      </w:pPr>
      <w:r w:rsidRPr="005D5075">
        <w:rPr>
          <w:rFonts w:ascii="Sto TT" w:hAnsi="Sto TT" w:cs="Arial"/>
          <w:sz w:val="18"/>
          <w:szCs w:val="18"/>
        </w:rPr>
        <w:t xml:space="preserve">Les performances aux chocs extérieurs du procédé </w:t>
      </w:r>
      <w:proofErr w:type="spellStart"/>
      <w:r w:rsidRPr="005D5075">
        <w:rPr>
          <w:rFonts w:ascii="Sto TT" w:hAnsi="Sto TT" w:cs="Arial"/>
          <w:b/>
          <w:bCs/>
          <w:sz w:val="18"/>
          <w:szCs w:val="18"/>
        </w:rPr>
        <w:t>StoVentec</w:t>
      </w:r>
      <w:proofErr w:type="spellEnd"/>
      <w:r w:rsidRPr="005D5075">
        <w:rPr>
          <w:rFonts w:ascii="Sto TT" w:hAnsi="Sto TT" w:cs="Arial"/>
          <w:b/>
          <w:bCs/>
          <w:sz w:val="18"/>
          <w:szCs w:val="18"/>
        </w:rPr>
        <w:t xml:space="preserve"> </w:t>
      </w:r>
      <w:proofErr w:type="spellStart"/>
      <w:r w:rsidRPr="005D5075">
        <w:rPr>
          <w:rFonts w:ascii="Sto TT" w:hAnsi="Sto TT" w:cs="Arial"/>
          <w:b/>
          <w:bCs/>
          <w:sz w:val="18"/>
          <w:szCs w:val="18"/>
        </w:rPr>
        <w:t>FibreCement</w:t>
      </w:r>
      <w:proofErr w:type="spellEnd"/>
      <w:r w:rsidRPr="005D5075">
        <w:rPr>
          <w:rFonts w:ascii="Sto TT" w:hAnsi="Sto TT" w:cs="Arial"/>
          <w:sz w:val="18"/>
          <w:szCs w:val="18"/>
        </w:rPr>
        <w:t xml:space="preserve"> ossature Bois et Métal, avec un entraxe de 600mm, correspondent, selon les Cahiers du CSTB 3546 et 3534, à la classe d’exposition Q4 en paroi facilement remplaçable</w:t>
      </w:r>
      <w:r w:rsidRPr="005D5075">
        <w:rPr>
          <w:rFonts w:ascii="Sto TT" w:eastAsia="Verdana" w:hAnsi="Sto TT" w:cs="Arial"/>
          <w:sz w:val="18"/>
          <w:szCs w:val="18"/>
        </w:rPr>
        <w:t xml:space="preserve"> (valable pour toutes les épaisseurs de la gamme) avec un profil de renfort sur les joints horizontaux en acier 10/10</w:t>
      </w:r>
      <w:r w:rsidRPr="005D5075">
        <w:rPr>
          <w:rFonts w:ascii="Sto TT" w:eastAsia="Verdana" w:hAnsi="Sto TT" w:cs="Arial"/>
          <w:sz w:val="18"/>
          <w:szCs w:val="18"/>
          <w:vertAlign w:val="superscript"/>
        </w:rPr>
        <w:t>ème</w:t>
      </w:r>
      <w:r w:rsidRPr="005D5075">
        <w:rPr>
          <w:rFonts w:ascii="Sto TT" w:eastAsia="Verdana" w:hAnsi="Sto TT" w:cs="Arial"/>
          <w:sz w:val="18"/>
          <w:szCs w:val="18"/>
        </w:rPr>
        <w:t>.</w:t>
      </w:r>
    </w:p>
    <w:p w14:paraId="705CF4F1"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Cela signifie qu’il est adapté aux zones exposées aux chocs (circulations, entrées d’immeubles, etc.).</w:t>
      </w:r>
    </w:p>
    <w:p w14:paraId="392DA701" w14:textId="77777777" w:rsidR="00316157" w:rsidRPr="005D5075" w:rsidRDefault="00316157" w:rsidP="00316157">
      <w:pPr>
        <w:ind w:left="-709"/>
        <w:jc w:val="center"/>
        <w:rPr>
          <w:rFonts w:ascii="Sto TT" w:eastAsia="Verdana" w:hAnsi="Sto TT" w:cs="Arial"/>
          <w:sz w:val="18"/>
          <w:szCs w:val="18"/>
        </w:rPr>
      </w:pPr>
      <w:r w:rsidRPr="005D5075">
        <w:rPr>
          <w:rFonts w:ascii="Sto TT" w:eastAsia="Verdana" w:hAnsi="Sto TT" w:cs="Arial"/>
          <w:noProof/>
          <w:sz w:val="18"/>
          <w:szCs w:val="18"/>
        </w:rPr>
        <w:lastRenderedPageBreak/>
        <w:drawing>
          <wp:inline distT="0" distB="0" distL="0" distR="0" wp14:anchorId="0198ACCF" wp14:editId="592A2923">
            <wp:extent cx="909955" cy="3004751"/>
            <wp:effectExtent l="0" t="0" r="4445" b="5715"/>
            <wp:docPr id="624805866" name="Image 1" descr="Une image contenant lign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05866" name="Image 1" descr="Une image contenant ligne, conception&#10;&#10;Le contenu généré par l’IA peut être incorrect."/>
                    <pic:cNvPicPr/>
                  </pic:nvPicPr>
                  <pic:blipFill>
                    <a:blip r:embed="rId12"/>
                    <a:stretch>
                      <a:fillRect/>
                    </a:stretch>
                  </pic:blipFill>
                  <pic:spPr>
                    <a:xfrm>
                      <a:off x="0" y="0"/>
                      <a:ext cx="932767" cy="3080077"/>
                    </a:xfrm>
                    <a:prstGeom prst="rect">
                      <a:avLst/>
                    </a:prstGeom>
                  </pic:spPr>
                </pic:pic>
              </a:graphicData>
            </a:graphic>
          </wp:inline>
        </w:drawing>
      </w:r>
      <w:r w:rsidRPr="005D5075">
        <w:rPr>
          <w:rFonts w:ascii="Sto TT" w:eastAsia="Verdana" w:hAnsi="Sto TT" w:cs="Arial"/>
          <w:noProof/>
          <w:sz w:val="18"/>
          <w:szCs w:val="18"/>
        </w:rPr>
        <w:drawing>
          <wp:inline distT="0" distB="0" distL="0" distR="0" wp14:anchorId="4178F670" wp14:editId="5892FA02">
            <wp:extent cx="4368800" cy="2447582"/>
            <wp:effectExtent l="0" t="0" r="0" b="0"/>
            <wp:docPr id="892539781" name="Image 1" descr="Une image contenant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39781" name="Image 1" descr="Une image contenant capture d’écran, conception&#10;&#10;Le contenu généré par l’IA peut être incorrect."/>
                    <pic:cNvPicPr/>
                  </pic:nvPicPr>
                  <pic:blipFill>
                    <a:blip r:embed="rId13"/>
                    <a:stretch>
                      <a:fillRect/>
                    </a:stretch>
                  </pic:blipFill>
                  <pic:spPr>
                    <a:xfrm>
                      <a:off x="0" y="0"/>
                      <a:ext cx="4368800" cy="2447582"/>
                    </a:xfrm>
                    <a:prstGeom prst="rect">
                      <a:avLst/>
                    </a:prstGeom>
                  </pic:spPr>
                </pic:pic>
              </a:graphicData>
            </a:graphic>
          </wp:inline>
        </w:drawing>
      </w:r>
    </w:p>
    <w:p w14:paraId="276CA91B" w14:textId="77777777" w:rsidR="00316157" w:rsidRPr="005D5075" w:rsidRDefault="00316157" w:rsidP="00316157">
      <w:pPr>
        <w:jc w:val="both"/>
        <w:rPr>
          <w:rFonts w:ascii="Sto TT" w:eastAsia="Verdana" w:hAnsi="Sto TT" w:cs="Arial"/>
          <w:sz w:val="18"/>
          <w:szCs w:val="18"/>
        </w:rPr>
      </w:pPr>
    </w:p>
    <w:p w14:paraId="0EA03F30" w14:textId="77777777" w:rsidR="00316157" w:rsidRPr="005D5075" w:rsidRDefault="00316157" w:rsidP="00316157">
      <w:pPr>
        <w:jc w:val="both"/>
        <w:rPr>
          <w:rFonts w:ascii="Sto TT" w:eastAsia="Verdana" w:hAnsi="Sto TT" w:cs="Arial"/>
          <w:sz w:val="18"/>
          <w:szCs w:val="18"/>
        </w:rPr>
      </w:pPr>
    </w:p>
    <w:p w14:paraId="34A4C7C4" w14:textId="77777777" w:rsidR="00316157" w:rsidRPr="005D5075" w:rsidRDefault="00316157" w:rsidP="00316157">
      <w:pPr>
        <w:pBdr>
          <w:top w:val="single" w:sz="4" w:space="1" w:color="auto"/>
          <w:left w:val="single" w:sz="4" w:space="4" w:color="auto"/>
          <w:bottom w:val="single" w:sz="4" w:space="1" w:color="auto"/>
          <w:right w:val="single" w:sz="4" w:space="4" w:color="auto"/>
        </w:pBdr>
        <w:shd w:val="clear" w:color="auto" w:fill="EDEDED" w:themeFill="accent3" w:themeFillTint="33"/>
        <w:ind w:left="-709"/>
        <w:jc w:val="both"/>
        <w:rPr>
          <w:rFonts w:ascii="Sto TT" w:eastAsia="Verdana" w:hAnsi="Sto TT" w:cs="Arial"/>
          <w:b/>
          <w:bCs/>
          <w:sz w:val="18"/>
          <w:szCs w:val="18"/>
        </w:rPr>
      </w:pPr>
    </w:p>
    <w:p w14:paraId="30906DF1" w14:textId="77777777" w:rsidR="00316157" w:rsidRPr="005D5075" w:rsidRDefault="00316157" w:rsidP="00316157">
      <w:pPr>
        <w:pBdr>
          <w:top w:val="single" w:sz="4" w:space="1" w:color="auto"/>
          <w:left w:val="single" w:sz="4" w:space="4" w:color="auto"/>
          <w:bottom w:val="single" w:sz="4" w:space="1" w:color="auto"/>
          <w:right w:val="single" w:sz="4" w:space="4" w:color="auto"/>
        </w:pBdr>
        <w:shd w:val="clear" w:color="auto" w:fill="EDEDED" w:themeFill="accent3" w:themeFillTint="33"/>
        <w:ind w:left="-709"/>
        <w:jc w:val="both"/>
        <w:rPr>
          <w:rFonts w:ascii="Sto TT" w:eastAsia="Verdana" w:hAnsi="Sto TT" w:cs="Arial"/>
          <w:b/>
          <w:bCs/>
          <w:sz w:val="18"/>
          <w:szCs w:val="18"/>
        </w:rPr>
      </w:pPr>
      <w:r w:rsidRPr="005D5075">
        <w:rPr>
          <w:rFonts w:ascii="Sto TT" w:eastAsia="Verdana" w:hAnsi="Sto TT" w:cs="Arial"/>
          <w:b/>
          <w:bCs/>
          <w:sz w:val="18"/>
          <w:szCs w:val="18"/>
        </w:rPr>
        <w:t xml:space="preserve">Le classement Q4 des systèmes </w:t>
      </w:r>
      <w:proofErr w:type="spellStart"/>
      <w:r w:rsidRPr="005D5075">
        <w:rPr>
          <w:rFonts w:ascii="Sto TT" w:eastAsia="Verdana" w:hAnsi="Sto TT" w:cs="Arial"/>
          <w:b/>
          <w:bCs/>
          <w:sz w:val="18"/>
          <w:szCs w:val="18"/>
        </w:rPr>
        <w:t>StoVentec</w:t>
      </w:r>
      <w:proofErr w:type="spellEnd"/>
      <w:r w:rsidRPr="005D5075">
        <w:rPr>
          <w:rFonts w:ascii="Sto TT" w:eastAsia="Verdana" w:hAnsi="Sto TT" w:cs="Arial"/>
          <w:b/>
          <w:bCs/>
          <w:sz w:val="18"/>
          <w:szCs w:val="18"/>
        </w:rPr>
        <w:t xml:space="preserve"> indique une résistance aux chocs accidentels non répétés dans le cadre d’une utilisation normale. Ce niveau de performance ne garantit pas une tenue face à des sollicitations intensives ou répétées. Il revient au maître d’ouvrage et à l’entreprise de mise en œuvre de vérifier que les conditions d’usage et d’exposition sont compatibles avec ce classement.</w:t>
      </w:r>
    </w:p>
    <w:p w14:paraId="2FD671D2" w14:textId="77777777" w:rsidR="00316157" w:rsidRPr="005D5075" w:rsidRDefault="00316157" w:rsidP="00316157">
      <w:pPr>
        <w:pBdr>
          <w:top w:val="single" w:sz="4" w:space="1" w:color="auto"/>
          <w:left w:val="single" w:sz="4" w:space="4" w:color="auto"/>
          <w:bottom w:val="single" w:sz="4" w:space="1" w:color="auto"/>
          <w:right w:val="single" w:sz="4" w:space="4" w:color="auto"/>
        </w:pBdr>
        <w:shd w:val="clear" w:color="auto" w:fill="EDEDED" w:themeFill="accent3" w:themeFillTint="33"/>
        <w:ind w:left="-709"/>
        <w:jc w:val="both"/>
        <w:rPr>
          <w:rFonts w:ascii="Sto TT" w:eastAsia="Verdana" w:hAnsi="Sto TT" w:cs="Arial"/>
          <w:b/>
          <w:bCs/>
          <w:i/>
          <w:iCs/>
          <w:sz w:val="18"/>
          <w:szCs w:val="18"/>
          <w:u w:val="single"/>
        </w:rPr>
      </w:pPr>
    </w:p>
    <w:p w14:paraId="50D952C4" w14:textId="77777777" w:rsidR="00316157" w:rsidRPr="005D5075" w:rsidRDefault="00316157" w:rsidP="00316157">
      <w:pPr>
        <w:pBdr>
          <w:top w:val="single" w:sz="4" w:space="1" w:color="auto"/>
          <w:left w:val="single" w:sz="4" w:space="4" w:color="auto"/>
          <w:bottom w:val="single" w:sz="4" w:space="1" w:color="auto"/>
          <w:right w:val="single" w:sz="4" w:space="4" w:color="auto"/>
        </w:pBdr>
        <w:shd w:val="clear" w:color="auto" w:fill="EDEDED" w:themeFill="accent3" w:themeFillTint="33"/>
        <w:ind w:left="-709"/>
        <w:jc w:val="both"/>
        <w:rPr>
          <w:rFonts w:ascii="Sto TT" w:eastAsia="Verdana" w:hAnsi="Sto TT" w:cs="Arial"/>
          <w:sz w:val="18"/>
          <w:szCs w:val="18"/>
        </w:rPr>
      </w:pPr>
      <w:r w:rsidRPr="005D5075">
        <w:rPr>
          <w:rFonts w:ascii="Sto TT" w:eastAsia="Verdana" w:hAnsi="Sto TT" w:cs="Arial"/>
          <w:sz w:val="18"/>
          <w:szCs w:val="18"/>
        </w:rPr>
        <w:t xml:space="preserve">À ce titre, il est important de noter que les plaques </w:t>
      </w:r>
      <w:proofErr w:type="spellStart"/>
      <w:r w:rsidRPr="005D5075">
        <w:rPr>
          <w:rFonts w:ascii="Sto TT" w:eastAsia="Verdana" w:hAnsi="Sto TT" w:cs="Arial"/>
          <w:sz w:val="18"/>
          <w:szCs w:val="18"/>
        </w:rPr>
        <w:t>StoVentec</w:t>
      </w:r>
      <w:proofErr w:type="spellEnd"/>
      <w:r w:rsidRPr="005D5075">
        <w:rPr>
          <w:rFonts w:ascii="Sto TT" w:eastAsia="Verdana" w:hAnsi="Sto TT" w:cs="Arial"/>
          <w:sz w:val="18"/>
          <w:szCs w:val="18"/>
        </w:rPr>
        <w:t xml:space="preserve"> ne sont pas destinées à être utilisées comme parements de murs exposés dans des environnements tels que les établissements scolaires ou les terrains de sport. Les sollicitations mécaniques générées par des impacts de ballons, balles ou autres objets projetés dans ces contextes sont significativement supérieures aux seuils de résistance définis par le classement Q4 des bardages rapportés. Une telle exposition pourrait compromettre l’intégrité du système et entraîner une détérioration prématurée.</w:t>
      </w:r>
    </w:p>
    <w:p w14:paraId="3C48FC00" w14:textId="77777777" w:rsidR="00316157" w:rsidRPr="005D5075" w:rsidRDefault="00316157" w:rsidP="00316157">
      <w:pPr>
        <w:pBdr>
          <w:top w:val="single" w:sz="4" w:space="1" w:color="auto"/>
          <w:left w:val="single" w:sz="4" w:space="4" w:color="auto"/>
          <w:bottom w:val="single" w:sz="4" w:space="1" w:color="auto"/>
          <w:right w:val="single" w:sz="4" w:space="4" w:color="auto"/>
        </w:pBdr>
        <w:shd w:val="clear" w:color="auto" w:fill="EDEDED" w:themeFill="accent3" w:themeFillTint="33"/>
        <w:ind w:left="-709"/>
        <w:jc w:val="both"/>
        <w:rPr>
          <w:rFonts w:ascii="Sto TT" w:eastAsia="Verdana" w:hAnsi="Sto TT" w:cs="Arial"/>
          <w:sz w:val="18"/>
          <w:szCs w:val="18"/>
        </w:rPr>
      </w:pPr>
    </w:p>
    <w:p w14:paraId="56F85AD3" w14:textId="77777777" w:rsidR="00316157" w:rsidRPr="005D5075" w:rsidRDefault="00316157" w:rsidP="00316157">
      <w:pPr>
        <w:ind w:left="-709"/>
        <w:jc w:val="both"/>
        <w:rPr>
          <w:rFonts w:ascii="Sto TT" w:eastAsia="Verdana" w:hAnsi="Sto TT" w:cs="Arial"/>
          <w:sz w:val="18"/>
          <w:szCs w:val="18"/>
        </w:rPr>
      </w:pPr>
    </w:p>
    <w:p w14:paraId="10C12DCB" w14:textId="77777777" w:rsidR="00316157" w:rsidRPr="005D5075" w:rsidRDefault="00316157" w:rsidP="00316157">
      <w:pPr>
        <w:ind w:left="-709"/>
        <w:jc w:val="both"/>
        <w:rPr>
          <w:rFonts w:ascii="Sto TT" w:eastAsia="Verdana" w:hAnsi="Sto TT" w:cs="Arial"/>
          <w:sz w:val="18"/>
          <w:szCs w:val="18"/>
        </w:rPr>
      </w:pPr>
    </w:p>
    <w:p w14:paraId="5E066FC1" w14:textId="77777777" w:rsidR="00316157" w:rsidRPr="005D5075" w:rsidRDefault="00316157" w:rsidP="00316157">
      <w:pPr>
        <w:pBdr>
          <w:top w:val="single" w:sz="4" w:space="1" w:color="auto"/>
          <w:left w:val="single" w:sz="4" w:space="4" w:color="auto"/>
          <w:bottom w:val="single" w:sz="4" w:space="1" w:color="auto"/>
          <w:right w:val="single" w:sz="4" w:space="4" w:color="auto"/>
        </w:pBdr>
        <w:ind w:left="-709"/>
        <w:jc w:val="center"/>
        <w:rPr>
          <w:rFonts w:ascii="Sto TT" w:eastAsia="Verdana" w:hAnsi="Sto TT" w:cs="Arial"/>
          <w:b/>
          <w:bCs/>
          <w:color w:val="2F5496" w:themeColor="accent5" w:themeShade="BF"/>
          <w:sz w:val="22"/>
          <w:szCs w:val="22"/>
        </w:rPr>
      </w:pPr>
      <w:r w:rsidRPr="005D5075">
        <w:rPr>
          <w:rFonts w:ascii="Sto TT" w:eastAsia="Verdana" w:hAnsi="Sto TT" w:cs="Arial"/>
          <w:b/>
          <w:bCs/>
          <w:color w:val="2F5496" w:themeColor="accent5" w:themeShade="BF"/>
          <w:sz w:val="22"/>
          <w:szCs w:val="22"/>
        </w:rPr>
        <w:t>Application du système</w:t>
      </w:r>
    </w:p>
    <w:p w14:paraId="37FA22FE" w14:textId="77777777" w:rsidR="00316157" w:rsidRPr="005D5075" w:rsidRDefault="00316157" w:rsidP="00316157">
      <w:pPr>
        <w:ind w:left="-709"/>
        <w:jc w:val="both"/>
        <w:rPr>
          <w:rFonts w:ascii="Sto TT" w:eastAsia="Verdana" w:hAnsi="Sto TT" w:cs="Arial"/>
          <w:sz w:val="18"/>
          <w:szCs w:val="18"/>
        </w:rPr>
      </w:pPr>
    </w:p>
    <w:p w14:paraId="121D48FC"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Sous-construction et isolation :</w:t>
      </w:r>
    </w:p>
    <w:p w14:paraId="0885B5CE"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La conception et la mise en œuvre des ossatures et de l’isolant sont conformes au P1.1.1 du DTU 45.4</w:t>
      </w:r>
    </w:p>
    <w:p w14:paraId="0C9C538A"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La sous-construction doit être justifiée par une note de calcul fournie par l’entreprise de pose, ou par le fournisseur de l’ossature.</w:t>
      </w:r>
    </w:p>
    <w:p w14:paraId="643D9558" w14:textId="77777777" w:rsidR="00316157" w:rsidRPr="005D5075" w:rsidRDefault="00316157" w:rsidP="00560418">
      <w:pPr>
        <w:numPr>
          <w:ilvl w:val="0"/>
          <w:numId w:val="6"/>
        </w:numPr>
        <w:jc w:val="both"/>
        <w:rPr>
          <w:rFonts w:ascii="Sto TT" w:eastAsia="Verdana" w:hAnsi="Sto TT" w:cs="Arial"/>
          <w:b/>
          <w:bCs/>
          <w:sz w:val="18"/>
          <w:szCs w:val="18"/>
          <w:u w:val="single"/>
        </w:rPr>
      </w:pPr>
      <w:r w:rsidRPr="005D5075">
        <w:rPr>
          <w:rFonts w:ascii="Sto TT" w:eastAsia="Verdana" w:hAnsi="Sto TT" w:cs="Arial"/>
          <w:sz w:val="18"/>
          <w:szCs w:val="18"/>
        </w:rPr>
        <w:t>Ossature bois</w:t>
      </w:r>
    </w:p>
    <w:p w14:paraId="2997445C"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Selon la classe d’emploi du bois, une bande EPDM devra être ajoutée entre l’ossature et le panneau.</w:t>
      </w:r>
    </w:p>
    <w:p w14:paraId="2B264CC6"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La largeur visible des ossatures sera de 90 mm au niveau des raccords de plaques et de 50 mm pour les chevrons intermédiaires.</w:t>
      </w:r>
    </w:p>
    <w:p w14:paraId="775C091D" w14:textId="77777777" w:rsidR="00316157" w:rsidRPr="005D5075" w:rsidRDefault="00316157" w:rsidP="00560418">
      <w:pPr>
        <w:numPr>
          <w:ilvl w:val="0"/>
          <w:numId w:val="6"/>
        </w:numPr>
        <w:jc w:val="both"/>
        <w:rPr>
          <w:rFonts w:ascii="Sto TT" w:eastAsia="Verdana" w:hAnsi="Sto TT" w:cs="Arial"/>
          <w:sz w:val="18"/>
          <w:szCs w:val="18"/>
        </w:rPr>
      </w:pPr>
      <w:r w:rsidRPr="005D5075">
        <w:rPr>
          <w:rFonts w:ascii="Sto TT" w:eastAsia="Verdana" w:hAnsi="Sto TT" w:cs="Arial"/>
          <w:sz w:val="18"/>
          <w:szCs w:val="18"/>
        </w:rPr>
        <w:t>Ossature métallique</w:t>
      </w:r>
    </w:p>
    <w:p w14:paraId="20D69ECA"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br/>
        <w:t>La largeur visible des ossatures sera de 80 mm au droit des raccords de plaques et de 50 mm en cas d’appui intermédiaire.</w:t>
      </w:r>
    </w:p>
    <w:p w14:paraId="64966B98"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Les ossatures métalliques présentent une </w:t>
      </w:r>
      <w:r w:rsidRPr="005D5075">
        <w:rPr>
          <w:rFonts w:ascii="Sto TT" w:eastAsia="Verdana" w:hAnsi="Sto TT" w:cs="Arial"/>
          <w:sz w:val="18"/>
          <w:szCs w:val="18"/>
          <w:u w:val="single"/>
        </w:rPr>
        <w:t>forte conductivité thermique</w:t>
      </w:r>
      <w:r w:rsidRPr="005D5075">
        <w:rPr>
          <w:rFonts w:ascii="Sto TT" w:eastAsia="Verdana" w:hAnsi="Sto TT" w:cs="Arial"/>
          <w:sz w:val="18"/>
          <w:szCs w:val="18"/>
        </w:rPr>
        <w:t xml:space="preserve">, ce qui peut entraîner l’apparition de </w:t>
      </w:r>
      <w:r w:rsidRPr="005D5075">
        <w:rPr>
          <w:rFonts w:ascii="Sto TT" w:eastAsia="Verdana" w:hAnsi="Sto TT" w:cs="Arial"/>
          <w:sz w:val="18"/>
          <w:szCs w:val="18"/>
          <w:u w:val="single"/>
        </w:rPr>
        <w:t>spectres d’ossatures</w:t>
      </w:r>
      <w:r w:rsidRPr="005D5075">
        <w:rPr>
          <w:rFonts w:ascii="Sto TT" w:eastAsia="Verdana" w:hAnsi="Sto TT" w:cs="Arial"/>
          <w:sz w:val="18"/>
          <w:szCs w:val="18"/>
        </w:rPr>
        <w:t xml:space="preserve"> visibles sur les façades. Afin éviter ce phénomène, il est recommandé d’utiliser des </w:t>
      </w:r>
      <w:r w:rsidRPr="005D5075">
        <w:rPr>
          <w:rFonts w:ascii="Sto TT" w:eastAsia="Verdana" w:hAnsi="Sto TT" w:cs="Arial"/>
          <w:b/>
          <w:bCs/>
          <w:sz w:val="18"/>
          <w:szCs w:val="18"/>
        </w:rPr>
        <w:t xml:space="preserve">bandes EPDM autocollantes </w:t>
      </w:r>
      <w:proofErr w:type="spellStart"/>
      <w:r w:rsidRPr="005D5075">
        <w:rPr>
          <w:rFonts w:ascii="Sto TT" w:eastAsia="Verdana" w:hAnsi="Sto TT" w:cs="Arial"/>
          <w:b/>
          <w:bCs/>
          <w:sz w:val="18"/>
          <w:szCs w:val="18"/>
        </w:rPr>
        <w:t>StoVentro</w:t>
      </w:r>
      <w:proofErr w:type="spellEnd"/>
      <w:r w:rsidRPr="005D5075">
        <w:rPr>
          <w:rFonts w:ascii="Sto TT" w:eastAsia="Verdana" w:hAnsi="Sto TT" w:cs="Arial"/>
          <w:b/>
          <w:bCs/>
          <w:sz w:val="18"/>
          <w:szCs w:val="18"/>
        </w:rPr>
        <w:t xml:space="preserve"> Tape EPDM</w:t>
      </w:r>
      <w:r w:rsidRPr="005D5075">
        <w:rPr>
          <w:rFonts w:ascii="Sto TT" w:eastAsia="Verdana" w:hAnsi="Sto TT" w:cs="Arial"/>
          <w:sz w:val="18"/>
          <w:szCs w:val="18"/>
        </w:rPr>
        <w:t xml:space="preserve"> entre les ossatures métalliques et les plaques </w:t>
      </w:r>
      <w:proofErr w:type="spellStart"/>
      <w:r w:rsidRPr="005D5075">
        <w:rPr>
          <w:rFonts w:ascii="Sto TT" w:eastAsia="Verdana" w:hAnsi="Sto TT" w:cs="Arial"/>
          <w:sz w:val="18"/>
          <w:szCs w:val="18"/>
        </w:rPr>
        <w:t>Ventec</w:t>
      </w:r>
      <w:proofErr w:type="spellEnd"/>
      <w:r w:rsidRPr="005D5075">
        <w:rPr>
          <w:rFonts w:ascii="Sto TT" w:eastAsia="Verdana" w:hAnsi="Sto TT" w:cs="Arial"/>
          <w:sz w:val="18"/>
          <w:szCs w:val="18"/>
        </w:rPr>
        <w:t>.</w:t>
      </w:r>
    </w:p>
    <w:p w14:paraId="79AA999B" w14:textId="77777777" w:rsidR="00316157" w:rsidRPr="005D5075" w:rsidRDefault="00316157" w:rsidP="00316157">
      <w:pPr>
        <w:ind w:left="-709"/>
        <w:jc w:val="both"/>
        <w:rPr>
          <w:rFonts w:ascii="Sto TT" w:eastAsia="Verdana" w:hAnsi="Sto TT" w:cs="Arial"/>
          <w:sz w:val="18"/>
          <w:szCs w:val="18"/>
        </w:rPr>
      </w:pPr>
    </w:p>
    <w:p w14:paraId="20D3C506"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b/>
          <w:bCs/>
          <w:sz w:val="18"/>
          <w:szCs w:val="18"/>
          <w:u w:val="single"/>
        </w:rPr>
        <w:t xml:space="preserve">En cas d’impossibilité de fixation dans le support (support amianté, </w:t>
      </w:r>
      <w:proofErr w:type="spellStart"/>
      <w:r w:rsidRPr="005D5075">
        <w:rPr>
          <w:rFonts w:ascii="Sto TT" w:eastAsia="Verdana" w:hAnsi="Sto TT" w:cs="Arial"/>
          <w:b/>
          <w:bCs/>
          <w:sz w:val="18"/>
          <w:szCs w:val="18"/>
          <w:u w:val="single"/>
        </w:rPr>
        <w:t>Glasal</w:t>
      </w:r>
      <w:proofErr w:type="spellEnd"/>
      <w:r w:rsidRPr="005D5075">
        <w:rPr>
          <w:rFonts w:ascii="Sto TT" w:eastAsia="Verdana" w:hAnsi="Sto TT" w:cs="Arial"/>
          <w:b/>
          <w:bCs/>
          <w:sz w:val="18"/>
          <w:szCs w:val="18"/>
          <w:u w:val="single"/>
        </w:rPr>
        <w:t>, support fragile…) possibilité de fixation dite « dalle à dalle » en technique non courante (TNC)</w:t>
      </w:r>
    </w:p>
    <w:p w14:paraId="773A3870"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w:t>
      </w:r>
    </w:p>
    <w:p w14:paraId="0F9428E9"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En cas d’impossibilité de fixation dans le support existant, une solution de fixation dite « dalle à dalle » peut être envisagée, sous réserve de :</w:t>
      </w:r>
    </w:p>
    <w:p w14:paraId="41F22ED0" w14:textId="77777777" w:rsidR="00316157" w:rsidRPr="005D5075" w:rsidRDefault="00316157" w:rsidP="00316157">
      <w:pPr>
        <w:jc w:val="both"/>
        <w:rPr>
          <w:rFonts w:ascii="Sto TT" w:eastAsia="Verdana" w:hAnsi="Sto TT" w:cs="Arial"/>
          <w:sz w:val="18"/>
          <w:szCs w:val="18"/>
        </w:rPr>
      </w:pPr>
      <w:r w:rsidRPr="005D5075">
        <w:rPr>
          <w:rFonts w:ascii="Sto TT" w:eastAsia="Verdana" w:hAnsi="Sto TT" w:cs="Arial"/>
          <w:sz w:val="18"/>
          <w:szCs w:val="18"/>
        </w:rPr>
        <w:t>-La faisabilité technique (configuration de la façade, épaisseur des dalles apparentes, etc…),</w:t>
      </w:r>
    </w:p>
    <w:p w14:paraId="02FAB5F0" w14:textId="77777777" w:rsidR="00316157" w:rsidRPr="005D5075" w:rsidRDefault="00316157" w:rsidP="00316157">
      <w:pPr>
        <w:jc w:val="both"/>
        <w:rPr>
          <w:rFonts w:ascii="Sto TT" w:eastAsia="Verdana" w:hAnsi="Sto TT" w:cs="Arial"/>
          <w:sz w:val="18"/>
          <w:szCs w:val="18"/>
        </w:rPr>
      </w:pPr>
      <w:r w:rsidRPr="005D5075">
        <w:rPr>
          <w:rFonts w:ascii="Sto TT" w:eastAsia="Verdana" w:hAnsi="Sto TT" w:cs="Arial"/>
          <w:b/>
          <w:bCs/>
          <w:sz w:val="18"/>
          <w:szCs w:val="18"/>
        </w:rPr>
        <w:t>-L’avis favorable du Bureau de Contrôle en charge de l’opération</w:t>
      </w:r>
      <w:r w:rsidRPr="005D5075">
        <w:rPr>
          <w:rFonts w:ascii="Sto TT" w:eastAsia="Verdana" w:hAnsi="Sto TT" w:cs="Arial"/>
          <w:sz w:val="18"/>
          <w:szCs w:val="18"/>
        </w:rPr>
        <w:t xml:space="preserve"> </w:t>
      </w:r>
      <w:r w:rsidRPr="005D5075">
        <w:rPr>
          <w:rFonts w:ascii="Sto TT" w:eastAsia="Verdana" w:hAnsi="Sto TT" w:cs="Arial"/>
          <w:b/>
          <w:bCs/>
          <w:sz w:val="18"/>
          <w:szCs w:val="18"/>
          <w:u w:val="single"/>
        </w:rPr>
        <w:t>avant toute mise en œuvre.</w:t>
      </w:r>
      <w:r w:rsidRPr="005D5075">
        <w:rPr>
          <w:rFonts w:ascii="Sto TT" w:eastAsia="Verdana" w:hAnsi="Sto TT" w:cs="Arial"/>
          <w:sz w:val="18"/>
          <w:szCs w:val="18"/>
        </w:rPr>
        <w:t> </w:t>
      </w:r>
    </w:p>
    <w:p w14:paraId="67225987"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w:t>
      </w:r>
    </w:p>
    <w:p w14:paraId="2BD189BB"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lastRenderedPageBreak/>
        <w:t xml:space="preserve">Cette méthode implique la pose d’une </w:t>
      </w:r>
      <w:r w:rsidRPr="005D5075">
        <w:rPr>
          <w:rFonts w:ascii="Sto TT" w:eastAsia="Verdana" w:hAnsi="Sto TT" w:cs="Arial"/>
          <w:sz w:val="18"/>
          <w:szCs w:val="18"/>
          <w:u w:val="single"/>
        </w:rPr>
        <w:t>ossature verticale métallique</w:t>
      </w:r>
      <w:r w:rsidRPr="005D5075">
        <w:rPr>
          <w:rFonts w:ascii="Sto TT" w:eastAsia="Verdana" w:hAnsi="Sto TT" w:cs="Arial"/>
          <w:sz w:val="18"/>
          <w:szCs w:val="18"/>
        </w:rPr>
        <w:t xml:space="preserve"> dimensionnée par une note de calcul établie par le fournisseur de celle-ci.</w:t>
      </w:r>
    </w:p>
    <w:p w14:paraId="209D94D1" w14:textId="77777777" w:rsidR="00316157" w:rsidRPr="005D5075" w:rsidRDefault="00316157" w:rsidP="00316157">
      <w:pPr>
        <w:ind w:left="-709"/>
        <w:jc w:val="both"/>
        <w:rPr>
          <w:rFonts w:ascii="Sto TT" w:eastAsia="Verdana" w:hAnsi="Sto TT" w:cs="Arial"/>
          <w:i/>
          <w:iCs/>
          <w:sz w:val="18"/>
          <w:szCs w:val="18"/>
        </w:rPr>
      </w:pPr>
      <w:r w:rsidRPr="005D5075">
        <w:rPr>
          <w:rFonts w:ascii="Sto TT" w:eastAsia="Verdana" w:hAnsi="Sto TT" w:cs="Arial"/>
          <w:i/>
          <w:iCs/>
          <w:sz w:val="18"/>
          <w:szCs w:val="18"/>
        </w:rPr>
        <w:t>Nota : Les ossatures bois sont proscrites dans ce cas de figure. </w:t>
      </w:r>
    </w:p>
    <w:p w14:paraId="5862CD26" w14:textId="77777777" w:rsidR="00316157" w:rsidRPr="005D5075" w:rsidRDefault="00316157" w:rsidP="00316157">
      <w:pPr>
        <w:ind w:left="-709"/>
        <w:jc w:val="both"/>
        <w:rPr>
          <w:rFonts w:ascii="Sto TT" w:eastAsia="Verdana" w:hAnsi="Sto TT" w:cs="Arial"/>
          <w:i/>
          <w:iCs/>
          <w:sz w:val="18"/>
          <w:szCs w:val="18"/>
        </w:rPr>
      </w:pPr>
    </w:p>
    <w:p w14:paraId="6164FF9F" w14:textId="77777777" w:rsidR="00316157" w:rsidRPr="005D5075" w:rsidRDefault="00316157" w:rsidP="00560418">
      <w:pPr>
        <w:numPr>
          <w:ilvl w:val="0"/>
          <w:numId w:val="6"/>
        </w:numPr>
        <w:jc w:val="both"/>
        <w:rPr>
          <w:rFonts w:ascii="Sto TT" w:eastAsia="Verdana" w:hAnsi="Sto TT" w:cs="Arial"/>
          <w:sz w:val="18"/>
          <w:szCs w:val="18"/>
        </w:rPr>
      </w:pPr>
      <w:r w:rsidRPr="005D5075">
        <w:rPr>
          <w:rFonts w:ascii="Sto TT" w:eastAsia="Verdana" w:hAnsi="Sto TT" w:cs="Arial"/>
          <w:sz w:val="18"/>
          <w:szCs w:val="18"/>
        </w:rPr>
        <w:t>Isolant</w:t>
      </w:r>
    </w:p>
    <w:p w14:paraId="7AAF6846"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Si une isolation extérieure est prévue, ses caractéristiques et sa mise en œuvre sera conforme au P1.1.1 du DTU 45.4 garantissant la conformité réglementaire et la performance thermique du système.</w:t>
      </w:r>
    </w:p>
    <w:p w14:paraId="36404CC0"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La fixation de l’isolant sera assurée par les chevilles Sto-Chevilles DH.</w:t>
      </w:r>
    </w:p>
    <w:p w14:paraId="5BCD3D63" w14:textId="77777777" w:rsidR="00316157" w:rsidRPr="005D5075" w:rsidRDefault="00316157" w:rsidP="00316157">
      <w:pPr>
        <w:ind w:left="-709"/>
        <w:jc w:val="both"/>
        <w:rPr>
          <w:rFonts w:ascii="Sto TT" w:eastAsia="Verdana" w:hAnsi="Sto TT" w:cs="Arial"/>
          <w:sz w:val="18"/>
          <w:szCs w:val="18"/>
        </w:rPr>
      </w:pPr>
    </w:p>
    <w:p w14:paraId="6BB8DE6C"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Mise en œuvre des panneaux</w:t>
      </w:r>
    </w:p>
    <w:p w14:paraId="2E39BECF"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Les panneaux sont posés à joints ouverts de 6 à 8 mm selon un calepinage prédéfini.</w:t>
      </w:r>
    </w:p>
    <w:p w14:paraId="7859E27D"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Afin d’éviter toute mise en contrainte des panneaux, ceux-ci sont fixés selon le principe des points fixes et des points coulissants. La fixation s’effectue en premier lieu par le point fixe, positionné au centre du panneau, puis par les points coulissants, en progression du centre vers les rives.</w:t>
      </w:r>
    </w:p>
    <w:p w14:paraId="2B52C6B4"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Pour garantir l’efficacité de ce mode de mise en œuvre, il est impératif d’assurer le centrage précis des éléments de fixation dans les pré-perçages. À cet effet, l’utilisation d’un outil de centrage est requise, permettant :</w:t>
      </w:r>
    </w:p>
    <w:p w14:paraId="219DB372" w14:textId="77777777" w:rsidR="00316157" w:rsidRPr="005D5075" w:rsidRDefault="00316157" w:rsidP="00560418">
      <w:pPr>
        <w:numPr>
          <w:ilvl w:val="0"/>
          <w:numId w:val="11"/>
        </w:numPr>
        <w:jc w:val="both"/>
        <w:rPr>
          <w:rFonts w:ascii="Sto TT" w:eastAsia="Verdana" w:hAnsi="Sto TT" w:cs="Arial"/>
          <w:sz w:val="18"/>
          <w:szCs w:val="18"/>
        </w:rPr>
      </w:pPr>
      <w:proofErr w:type="gramStart"/>
      <w:r w:rsidRPr="005D5075">
        <w:rPr>
          <w:rFonts w:ascii="Sto TT" w:eastAsia="Verdana" w:hAnsi="Sto TT" w:cs="Arial"/>
          <w:sz w:val="18"/>
          <w:szCs w:val="18"/>
        </w:rPr>
        <w:t>le</w:t>
      </w:r>
      <w:proofErr w:type="gramEnd"/>
      <w:r w:rsidRPr="005D5075">
        <w:rPr>
          <w:rFonts w:ascii="Sto TT" w:eastAsia="Verdana" w:hAnsi="Sto TT" w:cs="Arial"/>
          <w:sz w:val="18"/>
          <w:szCs w:val="18"/>
        </w:rPr>
        <w:t xml:space="preserve"> positionnement du perçage de l’ossature par rapport au trou du panneau dans le cas de fixations par rivets sur ossature métallique ;</w:t>
      </w:r>
    </w:p>
    <w:p w14:paraId="39F9DDE7" w14:textId="77777777" w:rsidR="00316157" w:rsidRPr="005D5075" w:rsidRDefault="00316157" w:rsidP="00560418">
      <w:pPr>
        <w:numPr>
          <w:ilvl w:val="0"/>
          <w:numId w:val="11"/>
        </w:numPr>
        <w:jc w:val="both"/>
        <w:rPr>
          <w:rFonts w:ascii="Sto TT" w:eastAsia="Verdana" w:hAnsi="Sto TT" w:cs="Arial"/>
          <w:sz w:val="18"/>
          <w:szCs w:val="18"/>
        </w:rPr>
      </w:pPr>
      <w:proofErr w:type="gramStart"/>
      <w:r w:rsidRPr="005D5075">
        <w:rPr>
          <w:rFonts w:ascii="Sto TT" w:eastAsia="Verdana" w:hAnsi="Sto TT" w:cs="Arial"/>
          <w:sz w:val="18"/>
          <w:szCs w:val="18"/>
        </w:rPr>
        <w:t>le</w:t>
      </w:r>
      <w:proofErr w:type="gramEnd"/>
      <w:r w:rsidRPr="005D5075">
        <w:rPr>
          <w:rFonts w:ascii="Sto TT" w:eastAsia="Verdana" w:hAnsi="Sto TT" w:cs="Arial"/>
          <w:sz w:val="18"/>
          <w:szCs w:val="18"/>
        </w:rPr>
        <w:t xml:space="preserve"> centrage de la vis par rapport au trou du panneau dans le cas d’une ossature bois.</w:t>
      </w:r>
    </w:p>
    <w:p w14:paraId="41C2B751"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Le principe des points fixes points coulissants s’effectue comme suit selon le type d’ossature choisie :</w:t>
      </w:r>
    </w:p>
    <w:p w14:paraId="65FF7471" w14:textId="77777777" w:rsidR="00316157" w:rsidRPr="005D5075" w:rsidRDefault="00316157" w:rsidP="00316157">
      <w:pPr>
        <w:ind w:left="-709"/>
        <w:jc w:val="both"/>
        <w:rPr>
          <w:rFonts w:ascii="Sto TT" w:eastAsia="Verdana" w:hAnsi="Sto TT" w:cs="Arial"/>
          <w:sz w:val="18"/>
          <w:szCs w:val="18"/>
        </w:rPr>
      </w:pPr>
    </w:p>
    <w:p w14:paraId="142300F9" w14:textId="77777777" w:rsidR="00316157" w:rsidRPr="005D5075" w:rsidRDefault="00316157" w:rsidP="00316157">
      <w:pPr>
        <w:ind w:left="-709"/>
        <w:jc w:val="both"/>
        <w:rPr>
          <w:rFonts w:ascii="Sto TT" w:eastAsia="Verdana" w:hAnsi="Sto TT" w:cs="Arial"/>
          <w:sz w:val="18"/>
          <w:szCs w:val="18"/>
          <w:u w:val="single"/>
        </w:rPr>
      </w:pPr>
      <w:r w:rsidRPr="005D5075">
        <w:rPr>
          <w:rFonts w:ascii="Sto TT" w:eastAsia="Verdana" w:hAnsi="Sto TT" w:cs="Arial"/>
          <w:sz w:val="18"/>
          <w:szCs w:val="18"/>
          <w:u w:val="single"/>
        </w:rPr>
        <w:t xml:space="preserve">Fixation pour ossature bois : </w:t>
      </w:r>
    </w:p>
    <w:p w14:paraId="1DE915D8"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Les panneaux sont fixés avec des </w:t>
      </w:r>
      <w:proofErr w:type="spellStart"/>
      <w:r w:rsidRPr="005D5075">
        <w:rPr>
          <w:rFonts w:ascii="Sto TT" w:eastAsia="Verdana" w:hAnsi="Sto TT" w:cs="Arial"/>
          <w:b/>
          <w:bCs/>
          <w:sz w:val="18"/>
          <w:szCs w:val="18"/>
        </w:rPr>
        <w:t>StoVentro</w:t>
      </w:r>
      <w:proofErr w:type="spellEnd"/>
      <w:r w:rsidRPr="005D5075">
        <w:rPr>
          <w:rFonts w:ascii="Sto TT" w:eastAsia="Verdana" w:hAnsi="Sto TT" w:cs="Arial"/>
          <w:b/>
          <w:bCs/>
          <w:sz w:val="18"/>
          <w:szCs w:val="18"/>
        </w:rPr>
        <w:t xml:space="preserve"> </w:t>
      </w:r>
      <w:proofErr w:type="spellStart"/>
      <w:r w:rsidRPr="005D5075">
        <w:rPr>
          <w:rFonts w:ascii="Sto TT" w:eastAsia="Verdana" w:hAnsi="Sto TT" w:cs="Arial"/>
          <w:b/>
          <w:bCs/>
          <w:sz w:val="18"/>
          <w:szCs w:val="18"/>
        </w:rPr>
        <w:t>Screw</w:t>
      </w:r>
      <w:proofErr w:type="spellEnd"/>
      <w:r w:rsidRPr="005D5075">
        <w:rPr>
          <w:rFonts w:ascii="Sto TT" w:eastAsia="Verdana" w:hAnsi="Sto TT" w:cs="Arial"/>
          <w:b/>
          <w:bCs/>
          <w:sz w:val="18"/>
          <w:szCs w:val="18"/>
        </w:rPr>
        <w:t xml:space="preserve"> 270</w:t>
      </w:r>
      <w:r w:rsidRPr="005D5075">
        <w:rPr>
          <w:rFonts w:ascii="Sto TT" w:eastAsia="Verdana" w:hAnsi="Sto TT" w:cs="Arial"/>
          <w:sz w:val="18"/>
          <w:szCs w:val="18"/>
        </w:rPr>
        <w:t xml:space="preserve">, vis inox Ø 4,8 x 38 mm et un diamètre de tête de 16mm. La longueur de vis doit permettre un ancrage d’au moins 25mm dans le bois. </w:t>
      </w:r>
    </w:p>
    <w:p w14:paraId="11F7BA97" w14:textId="77777777" w:rsidR="00316157" w:rsidRPr="005D5075" w:rsidRDefault="00316157" w:rsidP="00560418">
      <w:pPr>
        <w:numPr>
          <w:ilvl w:val="0"/>
          <w:numId w:val="5"/>
        </w:numPr>
        <w:jc w:val="both"/>
        <w:rPr>
          <w:rFonts w:ascii="Sto TT" w:eastAsia="Verdana" w:hAnsi="Sto TT" w:cs="Arial"/>
          <w:sz w:val="18"/>
          <w:szCs w:val="18"/>
        </w:rPr>
      </w:pPr>
      <w:r w:rsidRPr="005D5075">
        <w:rPr>
          <w:rFonts w:ascii="Sto TT" w:eastAsia="Verdana" w:hAnsi="Sto TT" w:cs="Arial"/>
          <w:sz w:val="18"/>
          <w:szCs w:val="18"/>
        </w:rPr>
        <w:t>Point fixe : Le diamètre de perçage est de 5mm.</w:t>
      </w:r>
    </w:p>
    <w:p w14:paraId="67BDF264" w14:textId="77777777" w:rsidR="00316157" w:rsidRPr="005D5075" w:rsidRDefault="00316157" w:rsidP="00560418">
      <w:pPr>
        <w:numPr>
          <w:ilvl w:val="0"/>
          <w:numId w:val="5"/>
        </w:numPr>
        <w:jc w:val="both"/>
        <w:rPr>
          <w:rFonts w:ascii="Sto TT" w:eastAsia="Verdana" w:hAnsi="Sto TT" w:cs="Arial"/>
          <w:sz w:val="18"/>
          <w:szCs w:val="18"/>
        </w:rPr>
      </w:pPr>
      <w:r w:rsidRPr="005D5075">
        <w:rPr>
          <w:rFonts w:ascii="Sto TT" w:eastAsia="Verdana" w:hAnsi="Sto TT" w:cs="Arial"/>
          <w:sz w:val="18"/>
          <w:szCs w:val="18"/>
        </w:rPr>
        <w:t>Point coulissant : Le diamètre de perçage est de 10mm (QB54)</w:t>
      </w:r>
    </w:p>
    <w:p w14:paraId="7D08E7BA" w14:textId="77777777" w:rsidR="00316157" w:rsidRPr="005D5075" w:rsidRDefault="00316157" w:rsidP="00316157">
      <w:pPr>
        <w:ind w:left="-709"/>
        <w:jc w:val="both"/>
        <w:rPr>
          <w:rFonts w:ascii="Sto TT" w:eastAsia="Verdana" w:hAnsi="Sto TT" w:cs="Arial"/>
          <w:sz w:val="18"/>
          <w:szCs w:val="18"/>
        </w:rPr>
      </w:pPr>
    </w:p>
    <w:p w14:paraId="59AEBF02" w14:textId="77777777" w:rsidR="00316157" w:rsidRPr="005D5075" w:rsidRDefault="00316157" w:rsidP="00316157">
      <w:pPr>
        <w:ind w:left="-709"/>
        <w:jc w:val="both"/>
        <w:rPr>
          <w:rFonts w:ascii="Sto TT" w:eastAsia="Verdana" w:hAnsi="Sto TT" w:cs="Arial"/>
          <w:sz w:val="18"/>
          <w:szCs w:val="18"/>
          <w:u w:val="single"/>
        </w:rPr>
      </w:pPr>
      <w:r w:rsidRPr="005D5075">
        <w:rPr>
          <w:rFonts w:ascii="Sto TT" w:eastAsia="Verdana" w:hAnsi="Sto TT" w:cs="Arial"/>
          <w:sz w:val="18"/>
          <w:szCs w:val="18"/>
          <w:u w:val="single"/>
        </w:rPr>
        <w:t>Fixation pour ossature aluminium :</w:t>
      </w:r>
    </w:p>
    <w:p w14:paraId="28BAF649" w14:textId="77777777" w:rsidR="00FD33E7" w:rsidRDefault="00316157" w:rsidP="00316157">
      <w:pPr>
        <w:ind w:left="-709" w:firstLine="709"/>
        <w:jc w:val="both"/>
        <w:rPr>
          <w:rFonts w:ascii="Sto TT" w:eastAsia="Verdana" w:hAnsi="Sto TT" w:cs="Arial"/>
          <w:sz w:val="18"/>
          <w:szCs w:val="18"/>
        </w:rPr>
      </w:pPr>
      <w:r w:rsidRPr="005D5075">
        <w:rPr>
          <w:rFonts w:ascii="Sto TT" w:eastAsia="Verdana" w:hAnsi="Sto TT" w:cs="Arial"/>
          <w:sz w:val="18"/>
          <w:szCs w:val="18"/>
        </w:rPr>
        <w:t>Les panneaux seront fixés à l’aide de</w:t>
      </w:r>
      <w:r w:rsidR="00FD33E7">
        <w:rPr>
          <w:rFonts w:ascii="Sto TT" w:eastAsia="Verdana" w:hAnsi="Sto TT" w:cs="Arial"/>
          <w:sz w:val="18"/>
          <w:szCs w:val="18"/>
        </w:rPr>
        <w:t> :</w:t>
      </w:r>
    </w:p>
    <w:p w14:paraId="278CF898" w14:textId="77777777" w:rsidR="00FD33E7" w:rsidRDefault="00FD33E7" w:rsidP="00316157">
      <w:pPr>
        <w:ind w:left="-709" w:firstLine="709"/>
        <w:jc w:val="both"/>
        <w:rPr>
          <w:rFonts w:ascii="Sto TT" w:eastAsia="Verdana" w:hAnsi="Sto TT" w:cs="Arial"/>
          <w:sz w:val="18"/>
          <w:szCs w:val="18"/>
        </w:rPr>
      </w:pPr>
    </w:p>
    <w:p w14:paraId="2A934761" w14:textId="27872A3C" w:rsidR="00FD33E7" w:rsidRDefault="00FD33E7" w:rsidP="00316157">
      <w:pPr>
        <w:ind w:left="-709" w:firstLine="709"/>
        <w:jc w:val="both"/>
        <w:rPr>
          <w:rFonts w:ascii="Sto TT" w:eastAsia="Verdana" w:hAnsi="Sto TT" w:cs="Arial"/>
          <w:b/>
          <w:bCs/>
          <w:sz w:val="18"/>
          <w:szCs w:val="18"/>
        </w:rPr>
      </w:pPr>
      <w:r>
        <w:rPr>
          <w:rFonts w:ascii="Sto TT" w:eastAsia="Verdana" w:hAnsi="Sto TT" w:cs="Arial"/>
          <w:sz w:val="18"/>
          <w:szCs w:val="18"/>
        </w:rPr>
        <w:t>-</w:t>
      </w:r>
      <w:r w:rsidR="00316157" w:rsidRPr="005D5075">
        <w:rPr>
          <w:rFonts w:ascii="Sto TT" w:eastAsia="Verdana" w:hAnsi="Sto TT" w:cs="Arial"/>
          <w:sz w:val="18"/>
          <w:szCs w:val="18"/>
        </w:rPr>
        <w:t xml:space="preserve"> rivets </w:t>
      </w:r>
      <w:proofErr w:type="spellStart"/>
      <w:r w:rsidR="00316157" w:rsidRPr="005D5075">
        <w:rPr>
          <w:rFonts w:ascii="Sto TT" w:eastAsia="Verdana" w:hAnsi="Sto TT" w:cs="Arial"/>
          <w:b/>
          <w:bCs/>
          <w:sz w:val="18"/>
          <w:szCs w:val="18"/>
        </w:rPr>
        <w:t>StoVentro</w:t>
      </w:r>
      <w:proofErr w:type="spellEnd"/>
      <w:r w:rsidR="00316157" w:rsidRPr="005D5075">
        <w:rPr>
          <w:rFonts w:ascii="Sto TT" w:eastAsia="Verdana" w:hAnsi="Sto TT" w:cs="Arial"/>
          <w:b/>
          <w:bCs/>
          <w:sz w:val="18"/>
          <w:szCs w:val="18"/>
        </w:rPr>
        <w:t xml:space="preserve"> Rivet 210 en </w:t>
      </w:r>
      <w:r w:rsidR="00316157">
        <w:rPr>
          <w:rFonts w:ascii="Sto TT" w:eastAsia="Verdana" w:hAnsi="Sto TT" w:cs="Arial"/>
          <w:b/>
          <w:bCs/>
          <w:sz w:val="18"/>
          <w:szCs w:val="18"/>
        </w:rPr>
        <w:t>a</w:t>
      </w:r>
      <w:r w:rsidR="00316157" w:rsidRPr="005D5075">
        <w:rPr>
          <w:rFonts w:ascii="Sto TT" w:eastAsia="Verdana" w:hAnsi="Sto TT" w:cs="Arial"/>
          <w:b/>
          <w:bCs/>
          <w:sz w:val="18"/>
          <w:szCs w:val="18"/>
        </w:rPr>
        <w:t xml:space="preserve">cier inox A3 </w:t>
      </w:r>
    </w:p>
    <w:p w14:paraId="44525DFF" w14:textId="77777777" w:rsidR="00FD33E7" w:rsidRPr="005D5075" w:rsidRDefault="00FD33E7" w:rsidP="00FD33E7">
      <w:pPr>
        <w:numPr>
          <w:ilvl w:val="0"/>
          <w:numId w:val="10"/>
        </w:numPr>
        <w:jc w:val="both"/>
        <w:rPr>
          <w:rFonts w:ascii="Sto TT" w:eastAsia="Verdana" w:hAnsi="Sto TT" w:cs="Arial"/>
          <w:sz w:val="18"/>
          <w:szCs w:val="18"/>
          <w:u w:val="single"/>
        </w:rPr>
      </w:pPr>
      <w:r w:rsidRPr="005D5075">
        <w:rPr>
          <w:rFonts w:ascii="Sto TT" w:eastAsia="Verdana" w:hAnsi="Sto TT" w:cs="Arial"/>
          <w:sz w:val="18"/>
          <w:szCs w:val="18"/>
        </w:rPr>
        <w:t>Point fixe : Le diamètre de perçage est égal au diamètre nominal du corps du rivet soit 5 mm</w:t>
      </w:r>
    </w:p>
    <w:p w14:paraId="26EAC521" w14:textId="26ECEB03" w:rsidR="00FD33E7" w:rsidRDefault="00FD33E7" w:rsidP="00FD33E7">
      <w:pPr>
        <w:numPr>
          <w:ilvl w:val="0"/>
          <w:numId w:val="10"/>
        </w:numPr>
        <w:jc w:val="both"/>
        <w:rPr>
          <w:rFonts w:ascii="Sto TT" w:eastAsia="Verdana" w:hAnsi="Sto TT" w:cs="Arial"/>
          <w:sz w:val="18"/>
          <w:szCs w:val="18"/>
        </w:rPr>
      </w:pPr>
      <w:r w:rsidRPr="1DCEF576">
        <w:rPr>
          <w:rFonts w:ascii="Sto TT" w:eastAsia="Verdana" w:hAnsi="Sto TT" w:cs="Arial"/>
          <w:sz w:val="18"/>
          <w:szCs w:val="18"/>
        </w:rPr>
        <w:t>Point coulissant : Le diamètre de perçage est de 10mm</w:t>
      </w:r>
    </w:p>
    <w:p w14:paraId="0587F95B" w14:textId="77777777" w:rsidR="00FD33E7" w:rsidRPr="00FD33E7" w:rsidRDefault="00FD33E7" w:rsidP="00FD33E7">
      <w:pPr>
        <w:ind w:left="11"/>
        <w:jc w:val="both"/>
        <w:rPr>
          <w:rFonts w:ascii="Sto TT" w:eastAsia="Verdana" w:hAnsi="Sto TT" w:cs="Arial"/>
          <w:sz w:val="18"/>
          <w:szCs w:val="18"/>
        </w:rPr>
      </w:pPr>
    </w:p>
    <w:p w14:paraId="1FE2940F" w14:textId="167091B3" w:rsidR="00316157" w:rsidRPr="00FD33E7" w:rsidRDefault="00FD33E7" w:rsidP="00FD33E7">
      <w:pPr>
        <w:jc w:val="both"/>
        <w:rPr>
          <w:rFonts w:ascii="Sto TT" w:eastAsia="Verdana" w:hAnsi="Sto TT" w:cs="Arial"/>
          <w:sz w:val="18"/>
          <w:szCs w:val="18"/>
        </w:rPr>
      </w:pPr>
      <w:r>
        <w:rPr>
          <w:rFonts w:ascii="Sto TT" w:eastAsia="Verdana" w:hAnsi="Sto TT" w:cs="Arial"/>
          <w:sz w:val="18"/>
          <w:szCs w:val="18"/>
        </w:rPr>
        <w:t>-</w:t>
      </w:r>
      <w:r w:rsidR="00316157" w:rsidRPr="00FD33E7">
        <w:rPr>
          <w:rFonts w:ascii="Sto TT" w:eastAsia="Verdana" w:hAnsi="Sto TT" w:cs="Arial"/>
          <w:sz w:val="18"/>
          <w:szCs w:val="18"/>
        </w:rPr>
        <w:t>vis</w:t>
      </w:r>
      <w:r w:rsidR="00316157" w:rsidRPr="00FD33E7">
        <w:rPr>
          <w:rFonts w:ascii="Sto TT" w:eastAsia="Verdana" w:hAnsi="Sto TT" w:cs="Arial"/>
          <w:b/>
          <w:bCs/>
          <w:sz w:val="18"/>
          <w:szCs w:val="18"/>
        </w:rPr>
        <w:t xml:space="preserve"> </w:t>
      </w:r>
      <w:proofErr w:type="spellStart"/>
      <w:r w:rsidR="00316157" w:rsidRPr="00FD33E7">
        <w:rPr>
          <w:rFonts w:ascii="Sto TT" w:eastAsia="Verdana" w:hAnsi="Sto TT" w:cs="Arial"/>
          <w:b/>
          <w:bCs/>
          <w:sz w:val="18"/>
          <w:szCs w:val="18"/>
        </w:rPr>
        <w:t>StoVentro</w:t>
      </w:r>
      <w:proofErr w:type="spellEnd"/>
      <w:r w:rsidR="00316157" w:rsidRPr="00FD33E7">
        <w:rPr>
          <w:rFonts w:ascii="Sto TT" w:eastAsia="Verdana" w:hAnsi="Sto TT" w:cs="Arial"/>
          <w:b/>
          <w:bCs/>
          <w:sz w:val="18"/>
          <w:szCs w:val="18"/>
        </w:rPr>
        <w:t xml:space="preserve"> </w:t>
      </w:r>
      <w:proofErr w:type="spellStart"/>
      <w:r w:rsidR="00316157" w:rsidRPr="00FD33E7">
        <w:rPr>
          <w:rFonts w:ascii="Sto TT" w:eastAsia="Verdana" w:hAnsi="Sto TT" w:cs="Arial"/>
          <w:b/>
          <w:bCs/>
          <w:sz w:val="18"/>
          <w:szCs w:val="18"/>
        </w:rPr>
        <w:t>Screw</w:t>
      </w:r>
      <w:proofErr w:type="spellEnd"/>
      <w:r w:rsidR="00316157" w:rsidRPr="00FD33E7">
        <w:rPr>
          <w:rFonts w:ascii="Sto TT" w:eastAsia="Verdana" w:hAnsi="Sto TT" w:cs="Arial"/>
          <w:b/>
          <w:bCs/>
          <w:sz w:val="18"/>
          <w:szCs w:val="18"/>
        </w:rPr>
        <w:t xml:space="preserve"> 212 </w:t>
      </w:r>
      <w:r w:rsidR="00316157" w:rsidRPr="00FD33E7">
        <w:rPr>
          <w:rFonts w:ascii="Sto TT" w:eastAsia="Verdana" w:hAnsi="Sto TT" w:cs="Arial"/>
          <w:sz w:val="18"/>
          <w:szCs w:val="18"/>
        </w:rPr>
        <w:t xml:space="preserve">en acier inox A2 (Ces vis doivent obligatoirement être associées avec les centreurs </w:t>
      </w:r>
      <w:proofErr w:type="spellStart"/>
      <w:r w:rsidR="00316157" w:rsidRPr="00FD33E7">
        <w:rPr>
          <w:rFonts w:ascii="Sto TT" w:eastAsia="Verdana" w:hAnsi="Sto TT" w:cs="Arial"/>
          <w:sz w:val="18"/>
          <w:szCs w:val="18"/>
        </w:rPr>
        <w:t>StoVentro</w:t>
      </w:r>
      <w:proofErr w:type="spellEnd"/>
      <w:r w:rsidR="00316157" w:rsidRPr="00FD33E7">
        <w:rPr>
          <w:rFonts w:ascii="Sto TT" w:eastAsia="Verdana" w:hAnsi="Sto TT" w:cs="Arial"/>
          <w:sz w:val="18"/>
          <w:szCs w:val="18"/>
        </w:rPr>
        <w:t xml:space="preserve"> Sleeve FP 002 points fixes (rouges) et </w:t>
      </w:r>
      <w:proofErr w:type="spellStart"/>
      <w:r w:rsidR="00316157" w:rsidRPr="00FD33E7">
        <w:rPr>
          <w:rFonts w:ascii="Sto TT" w:eastAsia="Verdana" w:hAnsi="Sto TT" w:cs="Arial"/>
          <w:sz w:val="18"/>
          <w:szCs w:val="18"/>
        </w:rPr>
        <w:t>StoVentro</w:t>
      </w:r>
      <w:proofErr w:type="spellEnd"/>
      <w:r w:rsidR="00316157" w:rsidRPr="00FD33E7">
        <w:rPr>
          <w:rFonts w:ascii="Sto TT" w:eastAsia="Verdana" w:hAnsi="Sto TT" w:cs="Arial"/>
          <w:sz w:val="18"/>
          <w:szCs w:val="18"/>
        </w:rPr>
        <w:t xml:space="preserve"> Sleeve GP 002 points coulissants (noirs) fournis avec)</w:t>
      </w:r>
    </w:p>
    <w:p w14:paraId="5256BF3E" w14:textId="77777777" w:rsidR="00316157" w:rsidRPr="005D5075" w:rsidRDefault="00316157" w:rsidP="00316157">
      <w:pPr>
        <w:ind w:left="-709"/>
        <w:jc w:val="both"/>
        <w:rPr>
          <w:rFonts w:ascii="Sto TT" w:eastAsia="Verdana" w:hAnsi="Sto TT" w:cs="Arial"/>
          <w:sz w:val="18"/>
          <w:szCs w:val="18"/>
          <w:u w:val="single"/>
        </w:rPr>
      </w:pPr>
      <w:r w:rsidRPr="005D5075">
        <w:rPr>
          <w:rFonts w:ascii="Sto TT" w:eastAsia="Verdana" w:hAnsi="Sto TT" w:cs="Arial"/>
          <w:sz w:val="18"/>
          <w:szCs w:val="18"/>
        </w:rPr>
        <w:t xml:space="preserve">. </w:t>
      </w:r>
    </w:p>
    <w:p w14:paraId="6D520FD1" w14:textId="1AD3B461" w:rsidR="00316157" w:rsidRPr="005D5075" w:rsidRDefault="00FD33E7" w:rsidP="00560418">
      <w:pPr>
        <w:numPr>
          <w:ilvl w:val="0"/>
          <w:numId w:val="10"/>
        </w:numPr>
        <w:jc w:val="both"/>
        <w:rPr>
          <w:rFonts w:ascii="Sto TT" w:eastAsia="Verdana" w:hAnsi="Sto TT" w:cs="Arial"/>
          <w:sz w:val="18"/>
          <w:szCs w:val="18"/>
          <w:u w:val="single"/>
        </w:rPr>
      </w:pPr>
      <w:r>
        <w:rPr>
          <w:rFonts w:ascii="Sto TT" w:eastAsia="Verdana" w:hAnsi="Sto TT" w:cs="Arial"/>
          <w:sz w:val="18"/>
          <w:szCs w:val="18"/>
        </w:rPr>
        <w:t>Point fixe et coulissant : Le diamètre de perçage est de 11 mm</w:t>
      </w:r>
    </w:p>
    <w:p w14:paraId="0035BCBE" w14:textId="77777777" w:rsidR="00316157" w:rsidRPr="005D5075" w:rsidRDefault="00316157" w:rsidP="00316157">
      <w:pPr>
        <w:ind w:left="-709"/>
        <w:jc w:val="both"/>
        <w:rPr>
          <w:rFonts w:ascii="Sto TT" w:eastAsia="Verdana" w:hAnsi="Sto TT" w:cs="Arial"/>
          <w:sz w:val="18"/>
          <w:szCs w:val="18"/>
        </w:rPr>
      </w:pPr>
    </w:p>
    <w:p w14:paraId="28966339" w14:textId="77777777" w:rsidR="00316157" w:rsidRPr="005D5075" w:rsidRDefault="00316157" w:rsidP="00316157">
      <w:pPr>
        <w:ind w:left="-709"/>
        <w:jc w:val="both"/>
        <w:rPr>
          <w:rFonts w:ascii="Sto TT" w:eastAsia="Verdana" w:hAnsi="Sto TT" w:cs="Arial"/>
          <w:sz w:val="18"/>
          <w:szCs w:val="18"/>
          <w:u w:val="single"/>
        </w:rPr>
      </w:pPr>
      <w:r w:rsidRPr="005D5075">
        <w:rPr>
          <w:rFonts w:ascii="Sto TT" w:eastAsia="Verdana" w:hAnsi="Sto TT" w:cs="Arial"/>
          <w:sz w:val="18"/>
          <w:szCs w:val="18"/>
          <w:u w:val="single"/>
        </w:rPr>
        <w:t>Fixation pour ossature acier :</w:t>
      </w:r>
    </w:p>
    <w:p w14:paraId="7FA55F65" w14:textId="77777777" w:rsidR="00FD33E7" w:rsidRDefault="00316157" w:rsidP="00316157">
      <w:pPr>
        <w:ind w:left="-349"/>
        <w:jc w:val="both"/>
        <w:rPr>
          <w:rFonts w:ascii="Sto TT" w:eastAsia="Verdana" w:hAnsi="Sto TT" w:cs="Arial"/>
          <w:sz w:val="18"/>
          <w:szCs w:val="18"/>
        </w:rPr>
      </w:pPr>
      <w:r w:rsidRPr="005D5075">
        <w:rPr>
          <w:rFonts w:ascii="Sto TT" w:eastAsia="Verdana" w:hAnsi="Sto TT" w:cs="Arial"/>
          <w:sz w:val="18"/>
          <w:szCs w:val="18"/>
        </w:rPr>
        <w:t>Les panneaux seront fixés à l’aide de</w:t>
      </w:r>
      <w:r w:rsidR="00FD33E7">
        <w:rPr>
          <w:rFonts w:ascii="Sto TT" w:eastAsia="Verdana" w:hAnsi="Sto TT" w:cs="Arial"/>
          <w:sz w:val="18"/>
          <w:szCs w:val="18"/>
        </w:rPr>
        <w:t> :</w:t>
      </w:r>
    </w:p>
    <w:p w14:paraId="5530CE79" w14:textId="77777777" w:rsidR="00FD33E7" w:rsidRDefault="00FD33E7" w:rsidP="00316157">
      <w:pPr>
        <w:ind w:left="-349"/>
        <w:jc w:val="both"/>
        <w:rPr>
          <w:rFonts w:ascii="Sto TT" w:eastAsia="Verdana" w:hAnsi="Sto TT" w:cs="Arial"/>
          <w:sz w:val="18"/>
          <w:szCs w:val="18"/>
        </w:rPr>
      </w:pPr>
      <w:r>
        <w:rPr>
          <w:rFonts w:ascii="Sto TT" w:eastAsia="Verdana" w:hAnsi="Sto TT" w:cs="Arial"/>
          <w:sz w:val="18"/>
          <w:szCs w:val="18"/>
        </w:rPr>
        <w:t>-</w:t>
      </w:r>
      <w:r w:rsidR="00316157" w:rsidRPr="005D5075">
        <w:rPr>
          <w:rFonts w:ascii="Sto TT" w:eastAsia="Verdana" w:hAnsi="Sto TT" w:cs="Arial"/>
          <w:sz w:val="18"/>
          <w:szCs w:val="18"/>
        </w:rPr>
        <w:t xml:space="preserve"> rivets </w:t>
      </w:r>
      <w:proofErr w:type="spellStart"/>
      <w:r w:rsidR="00316157" w:rsidRPr="00FD33E7">
        <w:rPr>
          <w:rFonts w:ascii="Sto TT" w:eastAsia="Verdana" w:hAnsi="Sto TT" w:cs="Arial"/>
          <w:b/>
          <w:bCs/>
          <w:sz w:val="18"/>
          <w:szCs w:val="18"/>
        </w:rPr>
        <w:t>StoVentro</w:t>
      </w:r>
      <w:proofErr w:type="spellEnd"/>
      <w:r w:rsidR="00316157" w:rsidRPr="00FD33E7">
        <w:rPr>
          <w:rFonts w:ascii="Sto TT" w:eastAsia="Verdana" w:hAnsi="Sto TT" w:cs="Arial"/>
          <w:b/>
          <w:bCs/>
          <w:sz w:val="18"/>
          <w:szCs w:val="18"/>
        </w:rPr>
        <w:t xml:space="preserve"> Rivet 240 </w:t>
      </w:r>
      <w:r w:rsidR="00316157" w:rsidRPr="00FD33E7">
        <w:rPr>
          <w:rFonts w:ascii="Sto TT" w:eastAsia="Verdana" w:hAnsi="Sto TT" w:cs="Arial"/>
          <w:sz w:val="18"/>
          <w:szCs w:val="18"/>
        </w:rPr>
        <w:t>en acier inox A3</w:t>
      </w:r>
      <w:r w:rsidR="00316157" w:rsidRPr="005D5075">
        <w:rPr>
          <w:rFonts w:ascii="Sto TT" w:eastAsia="Verdana" w:hAnsi="Sto TT" w:cs="Arial"/>
          <w:sz w:val="18"/>
          <w:szCs w:val="18"/>
        </w:rPr>
        <w:t xml:space="preserve"> </w:t>
      </w:r>
    </w:p>
    <w:p w14:paraId="0F100338" w14:textId="77777777" w:rsidR="00FD33E7" w:rsidRPr="005D5075" w:rsidRDefault="00FD33E7" w:rsidP="00FD33E7">
      <w:pPr>
        <w:numPr>
          <w:ilvl w:val="0"/>
          <w:numId w:val="10"/>
        </w:numPr>
        <w:jc w:val="both"/>
        <w:rPr>
          <w:rFonts w:ascii="Sto TT" w:eastAsia="Verdana" w:hAnsi="Sto TT" w:cs="Arial"/>
          <w:sz w:val="18"/>
          <w:szCs w:val="18"/>
          <w:u w:val="single"/>
        </w:rPr>
      </w:pPr>
      <w:r w:rsidRPr="005D5075">
        <w:rPr>
          <w:rFonts w:ascii="Sto TT" w:eastAsia="Verdana" w:hAnsi="Sto TT" w:cs="Arial"/>
          <w:sz w:val="18"/>
          <w:szCs w:val="18"/>
        </w:rPr>
        <w:t>Point fixe : Le diamètre de perçage est égal au diamètre nominal du corps du rivet soit 5 mm</w:t>
      </w:r>
    </w:p>
    <w:p w14:paraId="03D149FC" w14:textId="7458376F" w:rsidR="00FD33E7" w:rsidRDefault="00FD33E7" w:rsidP="00FD33E7">
      <w:pPr>
        <w:ind w:left="-349"/>
        <w:jc w:val="both"/>
        <w:rPr>
          <w:rFonts w:ascii="Sto TT" w:eastAsia="Verdana" w:hAnsi="Sto TT" w:cs="Arial"/>
          <w:sz w:val="18"/>
          <w:szCs w:val="18"/>
        </w:rPr>
      </w:pPr>
      <w:r w:rsidRPr="1DCEF576">
        <w:rPr>
          <w:rFonts w:ascii="Sto TT" w:eastAsia="Verdana" w:hAnsi="Sto TT" w:cs="Arial"/>
          <w:sz w:val="18"/>
          <w:szCs w:val="18"/>
        </w:rPr>
        <w:t>Point coulissant : Le diamètre de perçage est de 10 mm</w:t>
      </w:r>
    </w:p>
    <w:p w14:paraId="55F49D5D" w14:textId="77777777" w:rsidR="00FD33E7" w:rsidRDefault="00FD33E7" w:rsidP="00FD33E7">
      <w:pPr>
        <w:ind w:left="-349"/>
        <w:jc w:val="both"/>
        <w:rPr>
          <w:rFonts w:ascii="Sto TT" w:eastAsia="Verdana" w:hAnsi="Sto TT" w:cs="Arial"/>
          <w:sz w:val="18"/>
          <w:szCs w:val="18"/>
        </w:rPr>
      </w:pPr>
    </w:p>
    <w:p w14:paraId="2C693CE7" w14:textId="4C6DDE29" w:rsidR="00316157" w:rsidRDefault="00FD33E7" w:rsidP="00316157">
      <w:pPr>
        <w:ind w:left="-349"/>
        <w:jc w:val="both"/>
        <w:rPr>
          <w:rFonts w:ascii="Sto TT" w:eastAsia="Verdana" w:hAnsi="Sto TT" w:cs="Arial"/>
          <w:sz w:val="18"/>
          <w:szCs w:val="18"/>
        </w:rPr>
      </w:pPr>
      <w:r>
        <w:rPr>
          <w:rFonts w:ascii="Sto TT" w:eastAsia="Verdana" w:hAnsi="Sto TT" w:cs="Arial"/>
          <w:sz w:val="18"/>
          <w:szCs w:val="18"/>
        </w:rPr>
        <w:t>-</w:t>
      </w:r>
      <w:r w:rsidR="00316157" w:rsidRPr="005D5075">
        <w:rPr>
          <w:rFonts w:ascii="Sto TT" w:eastAsia="Verdana" w:hAnsi="Sto TT" w:cs="Arial"/>
          <w:sz w:val="18"/>
          <w:szCs w:val="18"/>
        </w:rPr>
        <w:t xml:space="preserve">vis </w:t>
      </w:r>
      <w:proofErr w:type="spellStart"/>
      <w:r w:rsidR="00316157" w:rsidRPr="00FD33E7">
        <w:rPr>
          <w:rFonts w:ascii="Sto TT" w:eastAsia="Verdana" w:hAnsi="Sto TT" w:cs="Arial"/>
          <w:b/>
          <w:bCs/>
          <w:sz w:val="18"/>
          <w:szCs w:val="18"/>
        </w:rPr>
        <w:t>StoVentro</w:t>
      </w:r>
      <w:proofErr w:type="spellEnd"/>
      <w:r w:rsidR="00316157" w:rsidRPr="00FD33E7">
        <w:rPr>
          <w:rFonts w:ascii="Sto TT" w:eastAsia="Verdana" w:hAnsi="Sto TT" w:cs="Arial"/>
          <w:b/>
          <w:bCs/>
          <w:sz w:val="18"/>
          <w:szCs w:val="18"/>
        </w:rPr>
        <w:t xml:space="preserve"> </w:t>
      </w:r>
      <w:proofErr w:type="spellStart"/>
      <w:r w:rsidR="00316157" w:rsidRPr="00FD33E7">
        <w:rPr>
          <w:rFonts w:ascii="Sto TT" w:eastAsia="Verdana" w:hAnsi="Sto TT" w:cs="Arial"/>
          <w:b/>
          <w:bCs/>
          <w:sz w:val="18"/>
          <w:szCs w:val="18"/>
        </w:rPr>
        <w:t>Screw</w:t>
      </w:r>
      <w:proofErr w:type="spellEnd"/>
      <w:r w:rsidR="00316157" w:rsidRPr="00FD33E7">
        <w:rPr>
          <w:rFonts w:ascii="Sto TT" w:eastAsia="Verdana" w:hAnsi="Sto TT" w:cs="Arial"/>
          <w:b/>
          <w:bCs/>
          <w:sz w:val="18"/>
          <w:szCs w:val="18"/>
        </w:rPr>
        <w:t xml:space="preserve"> 202</w:t>
      </w:r>
      <w:r w:rsidR="00316157" w:rsidRPr="005D5075">
        <w:rPr>
          <w:rFonts w:ascii="Sto TT" w:eastAsia="Verdana" w:hAnsi="Sto TT" w:cs="Arial"/>
          <w:sz w:val="18"/>
          <w:szCs w:val="18"/>
        </w:rPr>
        <w:t xml:space="preserve"> en acier inox A2 et pointe en acier trempé (Ces vis doivent obligatoirement être associées aux centreurs </w:t>
      </w:r>
      <w:proofErr w:type="spellStart"/>
      <w:r w:rsidR="00316157" w:rsidRPr="005D5075">
        <w:rPr>
          <w:rFonts w:ascii="Sto TT" w:eastAsia="Verdana" w:hAnsi="Sto TT" w:cs="Arial"/>
          <w:sz w:val="18"/>
          <w:szCs w:val="18"/>
        </w:rPr>
        <w:t>StoVentro</w:t>
      </w:r>
      <w:proofErr w:type="spellEnd"/>
      <w:r w:rsidR="00316157" w:rsidRPr="005D5075">
        <w:rPr>
          <w:rFonts w:ascii="Sto TT" w:eastAsia="Verdana" w:hAnsi="Sto TT" w:cs="Arial"/>
          <w:sz w:val="18"/>
          <w:szCs w:val="18"/>
        </w:rPr>
        <w:t xml:space="preserve"> Sleeve FP 002 points fixes (rouges) et </w:t>
      </w:r>
      <w:proofErr w:type="spellStart"/>
      <w:r w:rsidR="00316157" w:rsidRPr="005D5075">
        <w:rPr>
          <w:rFonts w:ascii="Sto TT" w:eastAsia="Verdana" w:hAnsi="Sto TT" w:cs="Arial"/>
          <w:sz w:val="18"/>
          <w:szCs w:val="18"/>
        </w:rPr>
        <w:t>StoVentro</w:t>
      </w:r>
      <w:proofErr w:type="spellEnd"/>
      <w:r w:rsidR="00316157" w:rsidRPr="005D5075">
        <w:rPr>
          <w:rFonts w:ascii="Sto TT" w:eastAsia="Verdana" w:hAnsi="Sto TT" w:cs="Arial"/>
          <w:sz w:val="18"/>
          <w:szCs w:val="18"/>
        </w:rPr>
        <w:t xml:space="preserve"> Sleeve GP 002 (noirs) fournis avec).</w:t>
      </w:r>
    </w:p>
    <w:p w14:paraId="02882202" w14:textId="77777777" w:rsidR="00FD33E7" w:rsidRPr="005D5075" w:rsidRDefault="00FD33E7" w:rsidP="00316157">
      <w:pPr>
        <w:ind w:left="-349"/>
        <w:jc w:val="both"/>
        <w:rPr>
          <w:rFonts w:ascii="Sto TT" w:eastAsia="Verdana" w:hAnsi="Sto TT" w:cs="Arial"/>
          <w:sz w:val="18"/>
          <w:szCs w:val="18"/>
        </w:rPr>
      </w:pPr>
    </w:p>
    <w:p w14:paraId="692583A1" w14:textId="77777777" w:rsidR="00FD33E7" w:rsidRPr="005D5075" w:rsidRDefault="00FD33E7" w:rsidP="00FD33E7">
      <w:pPr>
        <w:numPr>
          <w:ilvl w:val="0"/>
          <w:numId w:val="10"/>
        </w:numPr>
        <w:jc w:val="both"/>
        <w:rPr>
          <w:rFonts w:ascii="Sto TT" w:eastAsia="Verdana" w:hAnsi="Sto TT" w:cs="Arial"/>
          <w:sz w:val="18"/>
          <w:szCs w:val="18"/>
          <w:u w:val="single"/>
        </w:rPr>
      </w:pPr>
      <w:r>
        <w:rPr>
          <w:rFonts w:ascii="Sto TT" w:eastAsia="Verdana" w:hAnsi="Sto TT" w:cs="Arial"/>
          <w:sz w:val="18"/>
          <w:szCs w:val="18"/>
        </w:rPr>
        <w:t>Point fixe et coulissant : Le diamètre de perçage est de 11 mm</w:t>
      </w:r>
    </w:p>
    <w:p w14:paraId="7808AD68" w14:textId="77777777" w:rsidR="00316157" w:rsidRPr="005D5075" w:rsidRDefault="00316157" w:rsidP="00316157">
      <w:pPr>
        <w:ind w:left="11"/>
        <w:jc w:val="both"/>
        <w:rPr>
          <w:rFonts w:ascii="Sto TT" w:eastAsia="Verdana" w:hAnsi="Sto TT" w:cs="Arial"/>
          <w:sz w:val="18"/>
          <w:szCs w:val="18"/>
          <w:u w:val="single"/>
        </w:rPr>
      </w:pPr>
    </w:p>
    <w:p w14:paraId="7FF17101" w14:textId="77777777" w:rsidR="00316157" w:rsidRPr="005D5075" w:rsidRDefault="00316157" w:rsidP="00316157">
      <w:pPr>
        <w:jc w:val="both"/>
        <w:rPr>
          <w:rFonts w:ascii="Sto TT" w:eastAsia="Verdana" w:hAnsi="Sto TT" w:cs="Arial"/>
          <w:sz w:val="18"/>
          <w:szCs w:val="18"/>
          <w:u w:val="single"/>
        </w:rPr>
      </w:pPr>
    </w:p>
    <w:p w14:paraId="6C8927E0"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Lors de la fixation, il est impératif de respecter les distances minimales suivantes par rapport aux bords des panneaux :</w:t>
      </w:r>
    </w:p>
    <w:p w14:paraId="64CBA798" w14:textId="77777777" w:rsidR="00316157" w:rsidRPr="005D5075" w:rsidRDefault="00316157" w:rsidP="00560418">
      <w:pPr>
        <w:numPr>
          <w:ilvl w:val="0"/>
          <w:numId w:val="4"/>
        </w:numPr>
        <w:jc w:val="both"/>
        <w:rPr>
          <w:rFonts w:ascii="Sto TT" w:eastAsia="Verdana" w:hAnsi="Sto TT" w:cs="Arial"/>
          <w:sz w:val="18"/>
          <w:szCs w:val="18"/>
        </w:rPr>
      </w:pPr>
      <w:r w:rsidRPr="005D5075">
        <w:rPr>
          <w:rFonts w:ascii="Sto TT" w:eastAsia="Verdana" w:hAnsi="Sto TT" w:cs="Arial"/>
          <w:sz w:val="18"/>
          <w:szCs w:val="18"/>
        </w:rPr>
        <w:t>50 mm du bord horizontal</w:t>
      </w:r>
    </w:p>
    <w:p w14:paraId="73E96FB9" w14:textId="77777777" w:rsidR="00316157" w:rsidRPr="005D5075" w:rsidRDefault="00316157" w:rsidP="00560418">
      <w:pPr>
        <w:numPr>
          <w:ilvl w:val="0"/>
          <w:numId w:val="4"/>
        </w:numPr>
        <w:jc w:val="both"/>
        <w:rPr>
          <w:rFonts w:ascii="Sto TT" w:eastAsia="Verdana" w:hAnsi="Sto TT" w:cs="Arial"/>
          <w:sz w:val="18"/>
          <w:szCs w:val="18"/>
        </w:rPr>
      </w:pPr>
      <w:r w:rsidRPr="005D5075">
        <w:rPr>
          <w:rFonts w:ascii="Sto TT" w:eastAsia="Verdana" w:hAnsi="Sto TT" w:cs="Arial"/>
          <w:sz w:val="18"/>
          <w:szCs w:val="18"/>
        </w:rPr>
        <w:t>25 mm du bord Vertical</w:t>
      </w:r>
    </w:p>
    <w:p w14:paraId="5D6FEF8F" w14:textId="77777777" w:rsidR="00316157" w:rsidRPr="005D5075" w:rsidRDefault="00316157" w:rsidP="00316157">
      <w:pPr>
        <w:ind w:left="11"/>
        <w:jc w:val="both"/>
        <w:rPr>
          <w:rFonts w:ascii="Sto TT" w:eastAsia="Verdana" w:hAnsi="Sto TT" w:cs="Arial"/>
          <w:sz w:val="18"/>
          <w:szCs w:val="18"/>
        </w:rPr>
      </w:pPr>
    </w:p>
    <w:p w14:paraId="2A463BC2"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Entraxe des fixations :</w:t>
      </w:r>
    </w:p>
    <w:p w14:paraId="636F5026"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L’entraxe des fixations est défini selon les dépressions maximales du site afin d’assurer la stabilité mécanique du bardage et se résistance aux sollicitations climatiques et selon les tableaux de vent de la notice technique QB54 du système</w:t>
      </w:r>
    </w:p>
    <w:p w14:paraId="4062B75E" w14:textId="77777777" w:rsidR="00316157" w:rsidRPr="005D5075" w:rsidRDefault="00316157" w:rsidP="00316157">
      <w:pPr>
        <w:jc w:val="both"/>
        <w:rPr>
          <w:rFonts w:ascii="Sto TT" w:eastAsia="Verdana" w:hAnsi="Sto TT" w:cs="Arial"/>
          <w:sz w:val="18"/>
          <w:szCs w:val="18"/>
          <w:u w:val="single"/>
        </w:rPr>
      </w:pPr>
    </w:p>
    <w:p w14:paraId="26216AC4" w14:textId="77777777" w:rsidR="00316157" w:rsidRPr="005D5075" w:rsidRDefault="00316157" w:rsidP="00316157">
      <w:pPr>
        <w:ind w:left="11"/>
        <w:jc w:val="both"/>
        <w:rPr>
          <w:rFonts w:ascii="Sto TT" w:eastAsia="Verdana" w:hAnsi="Sto TT" w:cs="Arial"/>
          <w:sz w:val="18"/>
          <w:szCs w:val="18"/>
          <w:u w:val="single"/>
        </w:rPr>
      </w:pPr>
    </w:p>
    <w:p w14:paraId="6B099DF8" w14:textId="77777777" w:rsidR="00316157" w:rsidRPr="005D5075" w:rsidRDefault="00316157" w:rsidP="00316157">
      <w:pPr>
        <w:ind w:left="-349"/>
        <w:jc w:val="center"/>
        <w:rPr>
          <w:rFonts w:ascii="Sto TT" w:eastAsia="Verdana" w:hAnsi="Sto TT" w:cs="Arial"/>
          <w:sz w:val="18"/>
          <w:szCs w:val="18"/>
          <w:u w:val="single"/>
        </w:rPr>
      </w:pPr>
      <w:r w:rsidRPr="005D5075">
        <w:rPr>
          <w:rFonts w:ascii="Sto TT" w:eastAsia="Verdana" w:hAnsi="Sto TT" w:cs="Arial"/>
          <w:noProof/>
          <w:sz w:val="18"/>
          <w:szCs w:val="18"/>
          <w:u w:val="single"/>
        </w:rPr>
        <w:lastRenderedPageBreak/>
        <w:drawing>
          <wp:inline distT="0" distB="0" distL="0" distR="0" wp14:anchorId="198DF7F8" wp14:editId="766EA561">
            <wp:extent cx="2080260" cy="2387289"/>
            <wp:effectExtent l="0" t="0" r="0" b="0"/>
            <wp:docPr id="1028472512" name="Image 1" descr="Une image contenant ligne, Rectangle, moti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72512" name="Image 1" descr="Une image contenant ligne, Rectangle, motif&#10;&#10;Le contenu généré par l’IA peut être incorrect."/>
                    <pic:cNvPicPr/>
                  </pic:nvPicPr>
                  <pic:blipFill>
                    <a:blip r:embed="rId14"/>
                    <a:stretch>
                      <a:fillRect/>
                    </a:stretch>
                  </pic:blipFill>
                  <pic:spPr>
                    <a:xfrm>
                      <a:off x="0" y="0"/>
                      <a:ext cx="2103916" cy="2414437"/>
                    </a:xfrm>
                    <a:prstGeom prst="rect">
                      <a:avLst/>
                    </a:prstGeom>
                  </pic:spPr>
                </pic:pic>
              </a:graphicData>
            </a:graphic>
          </wp:inline>
        </w:drawing>
      </w:r>
      <w:r w:rsidRPr="005D5075">
        <w:rPr>
          <w:rFonts w:ascii="Sto TT" w:eastAsia="Verdana" w:hAnsi="Sto TT" w:cs="Arial"/>
          <w:noProof/>
          <w:sz w:val="18"/>
          <w:szCs w:val="18"/>
          <w:u w:val="single"/>
        </w:rPr>
        <w:drawing>
          <wp:inline distT="0" distB="0" distL="0" distR="0" wp14:anchorId="0DCB7499" wp14:editId="5144DCE2">
            <wp:extent cx="3922844" cy="2011045"/>
            <wp:effectExtent l="0" t="0" r="1905" b="8255"/>
            <wp:docPr id="1407820345" name="Image 1" descr="Une image contenant texte, capture d’écran, diagramme, Rect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20345" name="Image 1" descr="Une image contenant texte, capture d’écran, diagramme, Rectangle&#10;&#10;Le contenu généré par l’IA peut être incorrect."/>
                    <pic:cNvPicPr/>
                  </pic:nvPicPr>
                  <pic:blipFill>
                    <a:blip r:embed="rId15"/>
                    <a:stretch>
                      <a:fillRect/>
                    </a:stretch>
                  </pic:blipFill>
                  <pic:spPr>
                    <a:xfrm>
                      <a:off x="0" y="0"/>
                      <a:ext cx="3975106" cy="2037837"/>
                    </a:xfrm>
                    <a:prstGeom prst="rect">
                      <a:avLst/>
                    </a:prstGeom>
                  </pic:spPr>
                </pic:pic>
              </a:graphicData>
            </a:graphic>
          </wp:inline>
        </w:drawing>
      </w:r>
    </w:p>
    <w:p w14:paraId="6AFE18D8" w14:textId="77777777" w:rsidR="00316157" w:rsidRPr="005D5075" w:rsidRDefault="00316157" w:rsidP="00316157">
      <w:pPr>
        <w:rPr>
          <w:rFonts w:ascii="Sto TT" w:eastAsia="Verdana" w:hAnsi="Sto TT" w:cs="Arial"/>
          <w:sz w:val="18"/>
          <w:szCs w:val="18"/>
        </w:rPr>
      </w:pPr>
    </w:p>
    <w:p w14:paraId="310C0A16" w14:textId="77777777" w:rsidR="00316157" w:rsidRPr="003558EF" w:rsidRDefault="00316157" w:rsidP="00316157">
      <w:pPr>
        <w:ind w:left="-709"/>
        <w:jc w:val="center"/>
        <w:rPr>
          <w:rFonts w:ascii="Sto TT" w:eastAsia="Verdana" w:hAnsi="Sto TT" w:cs="Arial"/>
          <w:b/>
          <w:bCs/>
          <w:sz w:val="18"/>
          <w:szCs w:val="18"/>
        </w:rPr>
      </w:pPr>
      <w:r w:rsidRPr="003558EF">
        <w:rPr>
          <w:rFonts w:ascii="Sto TT" w:eastAsia="Verdana" w:hAnsi="Sto TT" w:cs="Arial"/>
          <w:b/>
          <w:bCs/>
          <w:sz w:val="18"/>
          <w:szCs w:val="18"/>
        </w:rPr>
        <w:t>POINTS SINGULIERS</w:t>
      </w:r>
    </w:p>
    <w:p w14:paraId="35EBABF5" w14:textId="77777777" w:rsidR="00316157" w:rsidRPr="005D5075" w:rsidRDefault="00316157" w:rsidP="00316157">
      <w:pPr>
        <w:ind w:left="-709"/>
        <w:jc w:val="both"/>
        <w:rPr>
          <w:rFonts w:ascii="Sto TT" w:eastAsia="Verdana" w:hAnsi="Sto TT" w:cs="Arial"/>
          <w:b/>
          <w:bCs/>
          <w:sz w:val="18"/>
          <w:szCs w:val="18"/>
          <w:u w:val="single"/>
        </w:rPr>
      </w:pPr>
    </w:p>
    <w:p w14:paraId="2D30B829"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 xml:space="preserve">Départ du système </w:t>
      </w:r>
      <w:proofErr w:type="spellStart"/>
      <w:r w:rsidRPr="005D5075">
        <w:rPr>
          <w:rFonts w:ascii="Sto TT" w:eastAsia="Verdana" w:hAnsi="Sto TT" w:cs="Arial"/>
          <w:b/>
          <w:bCs/>
          <w:sz w:val="18"/>
          <w:szCs w:val="18"/>
          <w:u w:val="single"/>
        </w:rPr>
        <w:t>StoVentec</w:t>
      </w:r>
      <w:proofErr w:type="spellEnd"/>
    </w:p>
    <w:p w14:paraId="4115D4C9" w14:textId="77777777" w:rsidR="00316157" w:rsidRPr="005D5075" w:rsidRDefault="00316157" w:rsidP="00316157">
      <w:pPr>
        <w:ind w:left="-709"/>
        <w:jc w:val="both"/>
        <w:rPr>
          <w:rFonts w:ascii="Sto TT" w:eastAsia="Verdana" w:hAnsi="Sto TT" w:cs="Arial"/>
          <w:b/>
          <w:bCs/>
          <w:sz w:val="18"/>
          <w:szCs w:val="18"/>
        </w:rPr>
      </w:pPr>
      <w:r w:rsidRPr="005D5075">
        <w:rPr>
          <w:rFonts w:ascii="Sto TT" w:eastAsia="Verdana" w:hAnsi="Sto TT" w:cs="Arial"/>
          <w:b/>
          <w:bCs/>
          <w:sz w:val="18"/>
          <w:szCs w:val="18"/>
        </w:rPr>
        <w:t xml:space="preserve">Sur ossature métallique : </w:t>
      </w:r>
    </w:p>
    <w:p w14:paraId="7D90FF54" w14:textId="77777777" w:rsidR="00316157" w:rsidRPr="005D5075" w:rsidRDefault="00316157" w:rsidP="00560418">
      <w:pPr>
        <w:numPr>
          <w:ilvl w:val="0"/>
          <w:numId w:val="6"/>
        </w:numPr>
        <w:jc w:val="both"/>
        <w:rPr>
          <w:rFonts w:ascii="Sto TT" w:eastAsia="Verdana" w:hAnsi="Sto TT" w:cs="Arial"/>
          <w:sz w:val="18"/>
          <w:szCs w:val="18"/>
        </w:rPr>
      </w:pPr>
      <w:r w:rsidRPr="005D5075">
        <w:rPr>
          <w:rFonts w:ascii="Sto TT" w:eastAsia="Verdana" w:hAnsi="Sto TT" w:cs="Arial"/>
          <w:sz w:val="18"/>
          <w:szCs w:val="18"/>
        </w:rPr>
        <w:t>50 mm au-dessus du sol en cas de sol dur.</w:t>
      </w:r>
    </w:p>
    <w:p w14:paraId="3EA03154" w14:textId="77777777" w:rsidR="00316157" w:rsidRPr="005D5075" w:rsidRDefault="00316157" w:rsidP="00560418">
      <w:pPr>
        <w:numPr>
          <w:ilvl w:val="0"/>
          <w:numId w:val="6"/>
        </w:numPr>
        <w:jc w:val="both"/>
        <w:rPr>
          <w:rFonts w:ascii="Sto TT" w:eastAsia="Verdana" w:hAnsi="Sto TT" w:cs="Arial"/>
          <w:sz w:val="18"/>
          <w:szCs w:val="18"/>
        </w:rPr>
      </w:pPr>
      <w:r w:rsidRPr="005D5075">
        <w:rPr>
          <w:rFonts w:ascii="Sto TT" w:eastAsia="Verdana" w:hAnsi="Sto TT" w:cs="Arial"/>
          <w:sz w:val="18"/>
          <w:szCs w:val="18"/>
        </w:rPr>
        <w:t>150 mm au-dessus du sol en cas de sol meuble.</w:t>
      </w:r>
    </w:p>
    <w:p w14:paraId="22912814" w14:textId="77777777" w:rsidR="00316157" w:rsidRPr="005D5075" w:rsidRDefault="00316157" w:rsidP="00316157">
      <w:pPr>
        <w:ind w:left="-709"/>
        <w:jc w:val="both"/>
        <w:rPr>
          <w:rFonts w:ascii="Sto TT" w:eastAsia="Verdana" w:hAnsi="Sto TT" w:cs="Arial"/>
          <w:b/>
          <w:bCs/>
          <w:sz w:val="18"/>
          <w:szCs w:val="18"/>
        </w:rPr>
      </w:pPr>
    </w:p>
    <w:p w14:paraId="35BB4276" w14:textId="77777777" w:rsidR="00316157" w:rsidRPr="005D5075" w:rsidRDefault="00316157" w:rsidP="00316157">
      <w:pPr>
        <w:ind w:left="-709"/>
        <w:jc w:val="both"/>
        <w:rPr>
          <w:rFonts w:ascii="Sto TT" w:eastAsia="Verdana" w:hAnsi="Sto TT" w:cs="Arial"/>
          <w:b/>
          <w:bCs/>
          <w:sz w:val="18"/>
          <w:szCs w:val="18"/>
        </w:rPr>
      </w:pPr>
      <w:r w:rsidRPr="005D5075">
        <w:rPr>
          <w:rFonts w:ascii="Sto TT" w:eastAsia="Verdana" w:hAnsi="Sto TT" w:cs="Arial"/>
          <w:b/>
          <w:bCs/>
          <w:sz w:val="18"/>
          <w:szCs w:val="18"/>
        </w:rPr>
        <w:t>Sur ossature bois :</w:t>
      </w:r>
    </w:p>
    <w:p w14:paraId="6BF16F5F" w14:textId="77777777" w:rsidR="00316157" w:rsidRPr="005D5075" w:rsidRDefault="00316157" w:rsidP="00560418">
      <w:pPr>
        <w:numPr>
          <w:ilvl w:val="0"/>
          <w:numId w:val="6"/>
        </w:numPr>
        <w:jc w:val="both"/>
        <w:rPr>
          <w:rFonts w:ascii="Sto TT" w:eastAsia="Verdana" w:hAnsi="Sto TT" w:cs="Arial"/>
          <w:sz w:val="18"/>
          <w:szCs w:val="18"/>
        </w:rPr>
      </w:pPr>
      <w:r w:rsidRPr="005D5075">
        <w:rPr>
          <w:rFonts w:ascii="Sto TT" w:eastAsia="Verdana" w:hAnsi="Sto TT" w:cs="Arial"/>
          <w:sz w:val="18"/>
          <w:szCs w:val="18"/>
        </w:rPr>
        <w:t>Toujours démarrer à 150 mm du sol</w:t>
      </w:r>
    </w:p>
    <w:p w14:paraId="284A8CCB" w14:textId="77777777" w:rsidR="00316157" w:rsidRPr="005D5075" w:rsidRDefault="00316157" w:rsidP="00316157">
      <w:pPr>
        <w:ind w:left="-709"/>
        <w:jc w:val="center"/>
        <w:rPr>
          <w:rFonts w:ascii="Sto TT" w:eastAsia="Verdana" w:hAnsi="Sto TT" w:cs="Arial"/>
          <w:b/>
          <w:bCs/>
          <w:sz w:val="18"/>
          <w:szCs w:val="18"/>
          <w:u w:val="single"/>
        </w:rPr>
      </w:pPr>
      <w:r w:rsidRPr="005D5075">
        <w:rPr>
          <w:rFonts w:ascii="Sto TT" w:hAnsi="Sto TT"/>
          <w:noProof/>
          <w:sz w:val="18"/>
          <w:szCs w:val="18"/>
        </w:rPr>
        <w:drawing>
          <wp:inline distT="0" distB="0" distL="0" distR="0" wp14:anchorId="59DAB8FF" wp14:editId="36F7E1E2">
            <wp:extent cx="2664000" cy="2880000"/>
            <wp:effectExtent l="0" t="0" r="3175" b="0"/>
            <wp:docPr id="986294553" name="Image 1" descr="Une image contenant texte, diagramme, lign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94553" name="Image 1" descr="Une image contenant texte, diagramme, ligne, Parallèle&#10;&#10;Le contenu généré par l’IA peut être incorrect."/>
                    <pic:cNvPicPr/>
                  </pic:nvPicPr>
                  <pic:blipFill>
                    <a:blip r:embed="rId16"/>
                    <a:stretch>
                      <a:fillRect/>
                    </a:stretch>
                  </pic:blipFill>
                  <pic:spPr>
                    <a:xfrm>
                      <a:off x="0" y="0"/>
                      <a:ext cx="2664000" cy="2880000"/>
                    </a:xfrm>
                    <a:prstGeom prst="rect">
                      <a:avLst/>
                    </a:prstGeom>
                  </pic:spPr>
                </pic:pic>
              </a:graphicData>
            </a:graphic>
          </wp:inline>
        </w:drawing>
      </w:r>
      <w:r w:rsidRPr="005D5075">
        <w:rPr>
          <w:rFonts w:ascii="Sto TT" w:hAnsi="Sto TT"/>
          <w:noProof/>
          <w:sz w:val="18"/>
          <w:szCs w:val="18"/>
        </w:rPr>
        <w:drawing>
          <wp:inline distT="0" distB="0" distL="0" distR="0" wp14:anchorId="5EA16D5F" wp14:editId="71EDC048">
            <wp:extent cx="2467708" cy="2946517"/>
            <wp:effectExtent l="0" t="0" r="8890" b="6350"/>
            <wp:docPr id="132681543" name="Image 1"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1543" name="Image 1" descr="Une image contenant texte, capture d’écran, diagramme, Parallèle&#10;&#10;Le contenu généré par l’IA peut être incorrect."/>
                    <pic:cNvPicPr/>
                  </pic:nvPicPr>
                  <pic:blipFill>
                    <a:blip r:embed="rId17"/>
                    <a:stretch>
                      <a:fillRect/>
                    </a:stretch>
                  </pic:blipFill>
                  <pic:spPr>
                    <a:xfrm>
                      <a:off x="0" y="0"/>
                      <a:ext cx="2469850" cy="2949075"/>
                    </a:xfrm>
                    <a:prstGeom prst="rect">
                      <a:avLst/>
                    </a:prstGeom>
                  </pic:spPr>
                </pic:pic>
              </a:graphicData>
            </a:graphic>
          </wp:inline>
        </w:drawing>
      </w:r>
    </w:p>
    <w:p w14:paraId="4F081632" w14:textId="77777777" w:rsidR="00316157" w:rsidRPr="005D5075" w:rsidRDefault="00316157" w:rsidP="00316157">
      <w:pPr>
        <w:ind w:left="-709"/>
        <w:jc w:val="both"/>
        <w:rPr>
          <w:rFonts w:ascii="Sto TT" w:eastAsia="Verdana" w:hAnsi="Sto TT" w:cs="Arial"/>
          <w:b/>
          <w:bCs/>
          <w:sz w:val="18"/>
          <w:szCs w:val="18"/>
          <w:u w:val="single"/>
        </w:rPr>
      </w:pPr>
    </w:p>
    <w:p w14:paraId="04485CD3"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Confection du socle par profil aluminium</w:t>
      </w:r>
    </w:p>
    <w:p w14:paraId="671DCA44"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À la hauteur du démarrage de l’ITE, mettre en place, horizontalement, le </w:t>
      </w:r>
      <w:r w:rsidRPr="005D5075">
        <w:rPr>
          <w:rFonts w:ascii="Sto TT" w:eastAsia="Verdana" w:hAnsi="Sto TT" w:cs="Arial"/>
          <w:b/>
          <w:bCs/>
          <w:sz w:val="18"/>
          <w:szCs w:val="18"/>
        </w:rPr>
        <w:t>Sto-Profil de départ S12</w:t>
      </w:r>
      <w:r w:rsidRPr="005D5075">
        <w:rPr>
          <w:rFonts w:ascii="Sto TT" w:eastAsia="Verdana" w:hAnsi="Sto TT" w:cs="Arial"/>
          <w:sz w:val="18"/>
          <w:szCs w:val="18"/>
        </w:rPr>
        <w:t xml:space="preserve"> associé à une grille de ventilation adaptée à la largeur de la lame d’air à l’aide de </w:t>
      </w:r>
      <w:r w:rsidRPr="005D5075">
        <w:rPr>
          <w:rFonts w:ascii="Sto TT" w:eastAsia="Verdana" w:hAnsi="Sto TT" w:cs="Arial"/>
          <w:b/>
          <w:bCs/>
          <w:sz w:val="18"/>
          <w:szCs w:val="18"/>
        </w:rPr>
        <w:t>3 Sto-Tape Vis par mètre linéaire</w:t>
      </w:r>
      <w:r w:rsidRPr="005D5075">
        <w:rPr>
          <w:rFonts w:ascii="Sto TT" w:eastAsia="Verdana" w:hAnsi="Sto TT" w:cs="Arial"/>
          <w:sz w:val="18"/>
          <w:szCs w:val="18"/>
        </w:rPr>
        <w:t>, la première et la dernière fixation étant à </w:t>
      </w:r>
      <w:r w:rsidRPr="005D5075">
        <w:rPr>
          <w:rFonts w:ascii="Sto TT" w:eastAsia="Verdana" w:hAnsi="Sto TT" w:cs="Arial"/>
          <w:b/>
          <w:bCs/>
          <w:sz w:val="18"/>
          <w:szCs w:val="18"/>
        </w:rPr>
        <w:t>5 cm maximum</w:t>
      </w:r>
      <w:r w:rsidRPr="005D5075">
        <w:rPr>
          <w:rFonts w:ascii="Sto TT" w:eastAsia="Verdana" w:hAnsi="Sto TT" w:cs="Arial"/>
          <w:sz w:val="18"/>
          <w:szCs w:val="18"/>
        </w:rPr>
        <w:t> des extrémités du socle. Un espace de 5mm est conservé au raccord des profils afin de permettre leur libre dilatation.</w:t>
      </w:r>
    </w:p>
    <w:p w14:paraId="7CE574B5"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Les inégalités de supports sont rattrapées par des cales.</w:t>
      </w:r>
    </w:p>
    <w:p w14:paraId="09BB3413" w14:textId="77777777" w:rsidR="00316157" w:rsidRPr="005D5075" w:rsidRDefault="00316157" w:rsidP="00316157">
      <w:pPr>
        <w:ind w:left="-709"/>
        <w:jc w:val="both"/>
        <w:rPr>
          <w:rFonts w:ascii="Sto TT" w:eastAsia="Verdana" w:hAnsi="Sto TT" w:cs="Arial"/>
          <w:b/>
          <w:bCs/>
          <w:sz w:val="18"/>
          <w:szCs w:val="18"/>
          <w:u w:val="single"/>
        </w:rPr>
      </w:pPr>
    </w:p>
    <w:p w14:paraId="6DC97B2A" w14:textId="77777777" w:rsidR="00316157" w:rsidRPr="005D5075" w:rsidRDefault="00316157" w:rsidP="00316157">
      <w:pPr>
        <w:ind w:left="-709" w:right="1"/>
        <w:jc w:val="both"/>
        <w:rPr>
          <w:rFonts w:ascii="Sto TT" w:eastAsia="Verdana" w:hAnsi="Sto TT" w:cs="Arial"/>
          <w:b/>
          <w:bCs/>
          <w:sz w:val="18"/>
          <w:szCs w:val="18"/>
          <w:u w:val="single"/>
        </w:rPr>
      </w:pPr>
      <w:r w:rsidRPr="005D5075">
        <w:rPr>
          <w:rFonts w:ascii="Sto TT" w:eastAsia="Verdana" w:hAnsi="Sto TT" w:cs="Arial"/>
          <w:b/>
          <w:bCs/>
          <w:sz w:val="18"/>
          <w:szCs w:val="18"/>
          <w:u w:val="single"/>
        </w:rPr>
        <w:t>Protection des éléments horizontaux et appuis de fenêtres</w:t>
      </w:r>
    </w:p>
    <w:p w14:paraId="6586F849"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 xml:space="preserve">Il convient de prévoir, dans le cadre du lot zinguerie, la mise en œuvre d’une protection adaptée des éléments horizontaux exposés (garde-corps, appuis, acrotères, etc.), par exemple sous forme de </w:t>
      </w:r>
      <w:proofErr w:type="spellStart"/>
      <w:r w:rsidRPr="005D5075">
        <w:rPr>
          <w:rFonts w:ascii="Sto TT" w:eastAsia="Verdana" w:hAnsi="Sto TT" w:cs="Arial"/>
          <w:sz w:val="18"/>
          <w:szCs w:val="18"/>
        </w:rPr>
        <w:t>couvertines</w:t>
      </w:r>
      <w:proofErr w:type="spellEnd"/>
      <w:r w:rsidRPr="005D5075">
        <w:rPr>
          <w:rFonts w:ascii="Sto TT" w:eastAsia="Verdana" w:hAnsi="Sto TT" w:cs="Arial"/>
          <w:sz w:val="18"/>
          <w:szCs w:val="18"/>
        </w:rPr>
        <w:t>. Sur une construction à ossature bois, au droit des ouvertures, prévoir des précadres conformes aux prescriptions du Cahier CSTB 3824 afin d’assurer la continuité du pare-pluie, la fixation des ossatures et le traitement des points singuliers.</w:t>
      </w:r>
    </w:p>
    <w:p w14:paraId="05EFF671"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lastRenderedPageBreak/>
        <w:t xml:space="preserve">Concernant les appuis de fenêtres, ceux-ci doivent présenter une largeur et une pente suffisante pour assurer l’évacuation des eaux pluviales. </w:t>
      </w:r>
    </w:p>
    <w:p w14:paraId="61CE126F" w14:textId="77777777" w:rsidR="00316157" w:rsidRPr="005D5075" w:rsidRDefault="00316157" w:rsidP="00316157">
      <w:pPr>
        <w:ind w:left="-709" w:right="1"/>
        <w:jc w:val="center"/>
        <w:rPr>
          <w:rFonts w:ascii="Sto TT" w:hAnsi="Sto TT"/>
          <w:noProof/>
          <w:sz w:val="18"/>
          <w:szCs w:val="18"/>
        </w:rPr>
      </w:pPr>
      <w:r w:rsidRPr="005D5075">
        <w:rPr>
          <w:rFonts w:ascii="Sto TT" w:hAnsi="Sto TT"/>
          <w:noProof/>
          <w:sz w:val="18"/>
          <w:szCs w:val="18"/>
        </w:rPr>
        <w:drawing>
          <wp:inline distT="0" distB="0" distL="0" distR="0" wp14:anchorId="48F68424" wp14:editId="343827D4">
            <wp:extent cx="2505600" cy="2880000"/>
            <wp:effectExtent l="0" t="0" r="9525" b="0"/>
            <wp:docPr id="775385346" name="Image 775385346"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85346" name="Image 775385346" descr="Une image contenant texte, diagramme, capture d’écran, ligne&#10;&#10;Le contenu généré par l’IA peut être incorrect."/>
                    <pic:cNvPicPr/>
                  </pic:nvPicPr>
                  <pic:blipFill>
                    <a:blip r:embed="rId18"/>
                    <a:stretch>
                      <a:fillRect/>
                    </a:stretch>
                  </pic:blipFill>
                  <pic:spPr>
                    <a:xfrm>
                      <a:off x="0" y="0"/>
                      <a:ext cx="2505600" cy="2880000"/>
                    </a:xfrm>
                    <a:prstGeom prst="rect">
                      <a:avLst/>
                    </a:prstGeom>
                  </pic:spPr>
                </pic:pic>
              </a:graphicData>
            </a:graphic>
          </wp:inline>
        </w:drawing>
      </w:r>
      <w:r w:rsidRPr="005D5075">
        <w:rPr>
          <w:rFonts w:ascii="Sto TT" w:hAnsi="Sto TT"/>
          <w:noProof/>
          <w:sz w:val="18"/>
          <w:szCs w:val="18"/>
        </w:rPr>
        <w:t xml:space="preserve">  </w:t>
      </w:r>
      <w:r w:rsidRPr="005D5075">
        <w:rPr>
          <w:rFonts w:ascii="Sto TT" w:hAnsi="Sto TT"/>
          <w:noProof/>
          <w:sz w:val="18"/>
          <w:szCs w:val="18"/>
        </w:rPr>
        <w:drawing>
          <wp:inline distT="0" distB="0" distL="0" distR="0" wp14:anchorId="695CC62E" wp14:editId="272BCE92">
            <wp:extent cx="2408400" cy="2880000"/>
            <wp:effectExtent l="0" t="0" r="0" b="0"/>
            <wp:docPr id="13" name="Image 13" descr="Une image contenant diagramme, texte, capture d’écran,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diagramme, texte, capture d’écran, Parallèle&#10;&#10;Le contenu généré par l’IA peut être incorrect."/>
                    <pic:cNvPicPr/>
                  </pic:nvPicPr>
                  <pic:blipFill>
                    <a:blip r:embed="rId19"/>
                    <a:stretch>
                      <a:fillRect/>
                    </a:stretch>
                  </pic:blipFill>
                  <pic:spPr>
                    <a:xfrm>
                      <a:off x="0" y="0"/>
                      <a:ext cx="2408400" cy="2880000"/>
                    </a:xfrm>
                    <a:prstGeom prst="rect">
                      <a:avLst/>
                    </a:prstGeom>
                  </pic:spPr>
                </pic:pic>
              </a:graphicData>
            </a:graphic>
          </wp:inline>
        </w:drawing>
      </w:r>
    </w:p>
    <w:p w14:paraId="39A60DCE" w14:textId="77777777" w:rsidR="00316157" w:rsidRPr="005D5075" w:rsidRDefault="00316157" w:rsidP="00316157">
      <w:pPr>
        <w:ind w:left="-709" w:right="1"/>
        <w:jc w:val="center"/>
        <w:rPr>
          <w:rFonts w:ascii="Sto TT" w:eastAsia="Verdana" w:hAnsi="Sto TT" w:cs="Arial"/>
          <w:sz w:val="18"/>
          <w:szCs w:val="18"/>
        </w:rPr>
      </w:pPr>
      <w:r w:rsidRPr="005D5075">
        <w:rPr>
          <w:rFonts w:ascii="Sto TT" w:hAnsi="Sto TT"/>
          <w:noProof/>
          <w:sz w:val="18"/>
          <w:szCs w:val="18"/>
        </w:rPr>
        <w:drawing>
          <wp:inline distT="0" distB="0" distL="0" distR="0" wp14:anchorId="56A0742E" wp14:editId="6495EAF1">
            <wp:extent cx="2458800" cy="2880000"/>
            <wp:effectExtent l="0" t="0" r="0" b="0"/>
            <wp:docPr id="37" name="Image 37" descr="Une image contenant texte, croquis,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descr="Une image contenant texte, croquis, diagramme, Parallèle&#10;&#10;Le contenu généré par l’IA peut êtr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8800" cy="2880000"/>
                    </a:xfrm>
                    <a:prstGeom prst="rect">
                      <a:avLst/>
                    </a:prstGeom>
                  </pic:spPr>
                </pic:pic>
              </a:graphicData>
            </a:graphic>
          </wp:inline>
        </w:drawing>
      </w:r>
      <w:r w:rsidRPr="005D5075">
        <w:rPr>
          <w:rFonts w:ascii="Sto TT" w:hAnsi="Sto TT"/>
          <w:noProof/>
          <w:sz w:val="18"/>
          <w:szCs w:val="18"/>
        </w:rPr>
        <w:t xml:space="preserve">   </w:t>
      </w:r>
      <w:r w:rsidRPr="005D5075">
        <w:rPr>
          <w:rFonts w:ascii="Sto TT" w:hAnsi="Sto TT"/>
          <w:noProof/>
          <w:sz w:val="18"/>
          <w:szCs w:val="18"/>
        </w:rPr>
        <w:drawing>
          <wp:inline distT="0" distB="0" distL="0" distR="0" wp14:anchorId="6662FE68" wp14:editId="484BF963">
            <wp:extent cx="2438400" cy="2924618"/>
            <wp:effectExtent l="0" t="0" r="0" b="9525"/>
            <wp:docPr id="1919965839" name="Image 1919965839"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65839" name="Image 1919965839" descr="Une image contenant texte, capture d’écran, diagramme, Parallèle&#10;&#10;Le contenu généré par l’IA peut êtr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43176" cy="2930347"/>
                    </a:xfrm>
                    <a:prstGeom prst="rect">
                      <a:avLst/>
                    </a:prstGeom>
                  </pic:spPr>
                </pic:pic>
              </a:graphicData>
            </a:graphic>
          </wp:inline>
        </w:drawing>
      </w:r>
    </w:p>
    <w:p w14:paraId="326C7DBD" w14:textId="77777777" w:rsidR="00316157" w:rsidRPr="005D5075" w:rsidRDefault="00316157" w:rsidP="00316157">
      <w:pPr>
        <w:ind w:left="-709" w:right="1"/>
        <w:jc w:val="both"/>
        <w:rPr>
          <w:rFonts w:ascii="Sto TT" w:eastAsia="Verdana" w:hAnsi="Sto TT" w:cs="Arial"/>
          <w:b/>
          <w:bCs/>
          <w:sz w:val="18"/>
          <w:szCs w:val="18"/>
          <w:u w:val="single"/>
        </w:rPr>
      </w:pPr>
    </w:p>
    <w:p w14:paraId="072096B4" w14:textId="77777777" w:rsidR="00316157" w:rsidRPr="005D5075" w:rsidRDefault="00316157" w:rsidP="00316157">
      <w:pPr>
        <w:ind w:left="-709" w:right="1"/>
        <w:jc w:val="both"/>
        <w:rPr>
          <w:rFonts w:ascii="Sto TT" w:eastAsia="Courier New" w:hAnsi="Sto TT" w:cs="Arial"/>
          <w:sz w:val="18"/>
          <w:szCs w:val="18"/>
        </w:rPr>
      </w:pPr>
      <w:r w:rsidRPr="005D5075">
        <w:rPr>
          <w:rFonts w:ascii="Sto TT" w:eastAsia="Verdana" w:hAnsi="Sto TT" w:cs="Arial"/>
          <w:b/>
          <w:bCs/>
          <w:sz w:val="18"/>
          <w:szCs w:val="18"/>
          <w:u w:val="single"/>
        </w:rPr>
        <w:t>Garde-corps maçonnés - Evacuation des eaux de pluie</w:t>
      </w:r>
    </w:p>
    <w:p w14:paraId="08421F1B"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Percements réalisés dans les garde-corps maçonnés pour l’intégration de pissettes en cuivre, PVC ou inox avec une pente suffisante, permettant une évacuation efficace des eaux de pluie. Les pissettes traversent le bardage ventilé, en débordant légèrement à l’extérieur, et sont mises en œuvre selon les règles de l’art.</w:t>
      </w:r>
    </w:p>
    <w:p w14:paraId="6BB00C9F" w14:textId="77777777" w:rsidR="00316157" w:rsidRPr="005D5075" w:rsidRDefault="00316157" w:rsidP="00316157">
      <w:pPr>
        <w:ind w:left="-709"/>
        <w:jc w:val="both"/>
        <w:rPr>
          <w:rFonts w:ascii="Sto TT" w:eastAsia="Verdana" w:hAnsi="Sto TT" w:cs="Arial"/>
          <w:sz w:val="18"/>
          <w:szCs w:val="18"/>
        </w:rPr>
      </w:pPr>
    </w:p>
    <w:p w14:paraId="5BE12A58"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Ventilation et Etanchéité</w:t>
      </w:r>
    </w:p>
    <w:p w14:paraId="6822521A"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Une lame d’air ventilée de 20 mm minimum est aménagée entre l’isolant et le dos des parements, assurée par des ouvertures en pied et en tête de façade. Pour les supports COB, le pare-pluie, conforme au DTU 31.2, est recoupé tous les 6 m pour évacuer les eaux de ruissellement. L’étanchéité à l’air est assurée par un enduit ou un pare-vapeur selon le type de support. Les joints ouverts ne doivent pas excéder 8 mm de largeur ni représenter plus de 1,5 % de la surface du panneau.</w:t>
      </w:r>
    </w:p>
    <w:p w14:paraId="07B48B03" w14:textId="77777777" w:rsidR="00316157" w:rsidRPr="005D5075" w:rsidRDefault="00316157" w:rsidP="00316157">
      <w:pPr>
        <w:ind w:left="-709"/>
        <w:jc w:val="both"/>
        <w:rPr>
          <w:rFonts w:ascii="Sto TT" w:eastAsia="Verdana" w:hAnsi="Sto TT" w:cs="Arial"/>
          <w:sz w:val="18"/>
          <w:szCs w:val="18"/>
        </w:rPr>
      </w:pPr>
    </w:p>
    <w:p w14:paraId="3445A438" w14:textId="77777777" w:rsidR="00316157" w:rsidRPr="005D5075" w:rsidRDefault="00316157" w:rsidP="00316157">
      <w:pPr>
        <w:ind w:left="-709"/>
        <w:jc w:val="both"/>
        <w:rPr>
          <w:rFonts w:ascii="Sto TT" w:eastAsia="Verdana" w:hAnsi="Sto TT" w:cs="Arial"/>
          <w:sz w:val="18"/>
          <w:szCs w:val="18"/>
        </w:rPr>
      </w:pPr>
    </w:p>
    <w:p w14:paraId="6EB9BFAC"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Mise en œuvre en sous-face (&gt;3m)</w:t>
      </w:r>
    </w:p>
    <w:p w14:paraId="66FB26B0"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Le système </w:t>
      </w:r>
      <w:proofErr w:type="spellStart"/>
      <w:r w:rsidRPr="005D5075">
        <w:rPr>
          <w:rFonts w:ascii="Sto TT" w:eastAsia="Verdana" w:hAnsi="Sto TT" w:cs="Arial"/>
          <w:sz w:val="18"/>
          <w:szCs w:val="18"/>
        </w:rPr>
        <w:t>StoVentec</w:t>
      </w:r>
      <w:proofErr w:type="spellEnd"/>
      <w:r w:rsidRPr="005D5075">
        <w:rPr>
          <w:rFonts w:ascii="Sto TT" w:eastAsia="Verdana" w:hAnsi="Sto TT" w:cs="Arial"/>
          <w:sz w:val="18"/>
          <w:szCs w:val="18"/>
        </w:rPr>
        <w:t xml:space="preserve"> Fibre Ciment peut être mis en œuvre en habillage de sous-face sur supports plans et horizontaux en béton, neufs ou existants, sous réserve qu’ils soient inaccessibles (à plus de 3 mètres du sol) et sans aire de jeux à proximité. La fixation des panneaux se fait exclusivement par vissage sur une ossature primaire (bois ou métallique) avec </w:t>
      </w:r>
      <w:r w:rsidRPr="005D5075">
        <w:rPr>
          <w:rFonts w:ascii="Sto TT" w:eastAsia="Verdana" w:hAnsi="Sto TT" w:cs="Arial"/>
          <w:b/>
          <w:bCs/>
          <w:sz w:val="18"/>
          <w:szCs w:val="18"/>
        </w:rPr>
        <w:t>entraxe maximal de 400mm</w:t>
      </w:r>
      <w:r w:rsidRPr="005D5075">
        <w:rPr>
          <w:rFonts w:ascii="Sto TT" w:eastAsia="Verdana" w:hAnsi="Sto TT" w:cs="Arial"/>
          <w:sz w:val="18"/>
          <w:szCs w:val="18"/>
        </w:rPr>
        <w:t xml:space="preserve">. Les pattes-équerres doivent être doublées et </w:t>
      </w:r>
      <w:r w:rsidRPr="005D5075">
        <w:rPr>
          <w:rFonts w:ascii="Sto TT" w:eastAsia="Verdana" w:hAnsi="Sto TT" w:cs="Arial"/>
          <w:b/>
          <w:bCs/>
          <w:sz w:val="18"/>
          <w:szCs w:val="18"/>
        </w:rPr>
        <w:t xml:space="preserve">posées en vis à vis </w:t>
      </w:r>
      <w:r w:rsidRPr="005D5075">
        <w:rPr>
          <w:rFonts w:ascii="Sto TT" w:eastAsia="Verdana" w:hAnsi="Sto TT" w:cs="Arial"/>
          <w:sz w:val="18"/>
          <w:szCs w:val="18"/>
        </w:rPr>
        <w:t xml:space="preserve">avec un </w:t>
      </w:r>
      <w:r w:rsidRPr="005D5075">
        <w:rPr>
          <w:rFonts w:ascii="Sto TT" w:eastAsia="Verdana" w:hAnsi="Sto TT" w:cs="Arial"/>
          <w:b/>
          <w:bCs/>
          <w:sz w:val="18"/>
          <w:szCs w:val="18"/>
        </w:rPr>
        <w:t>espacement maximal de 1m</w:t>
      </w:r>
      <w:r w:rsidRPr="005D5075">
        <w:rPr>
          <w:rFonts w:ascii="Sto TT" w:eastAsia="Verdana" w:hAnsi="Sto TT" w:cs="Arial"/>
          <w:sz w:val="18"/>
          <w:szCs w:val="18"/>
        </w:rPr>
        <w:t xml:space="preserve">, et leur résistance admissible doit correspondre à </w:t>
      </w:r>
      <w:r w:rsidRPr="005D5075">
        <w:rPr>
          <w:rFonts w:ascii="Sto TT" w:eastAsia="Verdana" w:hAnsi="Sto TT" w:cs="Arial"/>
          <w:sz w:val="18"/>
          <w:szCs w:val="18"/>
        </w:rPr>
        <w:lastRenderedPageBreak/>
        <w:t>une déformation sous charge verticale inférieure ou égale à 1mm. La flèche des profilés sous vent normal ne doit pas dépasser 1/200e de la portée entre fixations. Une ventilation de la sous-face est assurée par un joint ouvert en périphérie extérieure.</w:t>
      </w:r>
    </w:p>
    <w:p w14:paraId="4C081BDB" w14:textId="77777777" w:rsidR="00316157" w:rsidRPr="005D5075" w:rsidRDefault="00316157" w:rsidP="00316157">
      <w:pPr>
        <w:ind w:left="-709"/>
        <w:jc w:val="both"/>
        <w:rPr>
          <w:rFonts w:ascii="Sto TT" w:eastAsia="Verdana" w:hAnsi="Sto TT" w:cs="Arial"/>
          <w:sz w:val="18"/>
          <w:szCs w:val="18"/>
        </w:rPr>
      </w:pPr>
    </w:p>
    <w:p w14:paraId="6E218C4E"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Sismique – Recommandations de mise en œuvre</w:t>
      </w:r>
    </w:p>
    <w:p w14:paraId="18106DD2" w14:textId="77777777" w:rsidR="00316157" w:rsidRPr="005D5075" w:rsidRDefault="00316157" w:rsidP="00316157">
      <w:pPr>
        <w:ind w:left="-709"/>
        <w:jc w:val="both"/>
        <w:rPr>
          <w:rFonts w:ascii="Sto TT" w:eastAsia="Verdana" w:hAnsi="Sto TT" w:cs="Arial"/>
          <w:sz w:val="18"/>
          <w:szCs w:val="18"/>
        </w:rPr>
      </w:pPr>
      <w:r w:rsidRPr="1DCEF576">
        <w:rPr>
          <w:rFonts w:ascii="Sto TT" w:eastAsia="Verdana" w:hAnsi="Sto TT" w:cs="Arial"/>
          <w:sz w:val="18"/>
          <w:szCs w:val="18"/>
        </w:rPr>
        <w:t>Avant toute mise en œuvre, il est essentiel de consulter les observations générales en fin de document afin de prendre connaissance des exigences réglementaires en matière de sécurité vis à vis du risque sismique.</w:t>
      </w:r>
    </w:p>
    <w:p w14:paraId="4951D0E7"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 </w:t>
      </w:r>
    </w:p>
    <w:p w14:paraId="62C80FEC"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Notamment :</w:t>
      </w:r>
    </w:p>
    <w:p w14:paraId="3017C10E" w14:textId="77777777" w:rsidR="00316157" w:rsidRPr="005D5075" w:rsidRDefault="00316157" w:rsidP="00560418">
      <w:pPr>
        <w:numPr>
          <w:ilvl w:val="0"/>
          <w:numId w:val="3"/>
        </w:numPr>
        <w:jc w:val="both"/>
        <w:rPr>
          <w:rFonts w:ascii="Sto TT" w:eastAsia="Verdana" w:hAnsi="Sto TT" w:cs="Arial"/>
          <w:sz w:val="18"/>
          <w:szCs w:val="18"/>
        </w:rPr>
      </w:pPr>
      <w:r w:rsidRPr="005D5075">
        <w:rPr>
          <w:rFonts w:ascii="Sto TT" w:eastAsia="Verdana" w:hAnsi="Sto TT" w:cs="Arial"/>
          <w:sz w:val="18"/>
          <w:szCs w:val="18"/>
        </w:rPr>
        <w:t xml:space="preserve">L’obligation de fractionner le système (ossature et panneaux) au droit des nez de plancher </w:t>
      </w:r>
    </w:p>
    <w:p w14:paraId="1A55F447" w14:textId="77777777" w:rsidR="00316157" w:rsidRPr="005D5075" w:rsidRDefault="00316157" w:rsidP="00560418">
      <w:pPr>
        <w:numPr>
          <w:ilvl w:val="0"/>
          <w:numId w:val="3"/>
        </w:numPr>
        <w:jc w:val="both"/>
        <w:rPr>
          <w:rFonts w:ascii="Sto TT" w:eastAsia="Verdana" w:hAnsi="Sto TT" w:cs="Arial"/>
          <w:sz w:val="18"/>
          <w:szCs w:val="18"/>
        </w:rPr>
      </w:pPr>
      <w:r w:rsidRPr="005D5075">
        <w:rPr>
          <w:rFonts w:ascii="Sto TT" w:eastAsia="Verdana" w:hAnsi="Sto TT" w:cs="Arial"/>
          <w:sz w:val="18"/>
          <w:szCs w:val="18"/>
        </w:rPr>
        <w:t>Le respect d’un entraxe maximal de 1 mètre entre les pattes équerres de fixation.</w:t>
      </w:r>
    </w:p>
    <w:p w14:paraId="6E89187D" w14:textId="77777777" w:rsidR="00316157" w:rsidRPr="005D5075" w:rsidRDefault="00316157" w:rsidP="00316157">
      <w:pPr>
        <w:ind w:left="-709"/>
        <w:jc w:val="both"/>
        <w:rPr>
          <w:rFonts w:ascii="Sto TT" w:eastAsia="Verdana" w:hAnsi="Sto TT" w:cs="Arial"/>
          <w:sz w:val="18"/>
          <w:szCs w:val="18"/>
        </w:rPr>
      </w:pPr>
    </w:p>
    <w:p w14:paraId="1C7D654E" w14:textId="77777777" w:rsidR="00316157" w:rsidRPr="003558EF" w:rsidRDefault="00316157" w:rsidP="00316157">
      <w:pPr>
        <w:ind w:left="-709"/>
        <w:jc w:val="both"/>
        <w:rPr>
          <w:rFonts w:ascii="Sto TT" w:eastAsia="Verdana" w:hAnsi="Sto TT" w:cs="Arial"/>
          <w:sz w:val="18"/>
          <w:szCs w:val="18"/>
        </w:rPr>
      </w:pPr>
      <w:r w:rsidRPr="1DCEF576">
        <w:rPr>
          <w:rFonts w:ascii="Sto TT" w:eastAsia="Verdana" w:hAnsi="Sto TT" w:cs="Arial"/>
          <w:sz w:val="18"/>
          <w:szCs w:val="18"/>
        </w:rPr>
        <w:t>Ces mesures visent à garantir la stabilité du système en cas de séisme et doivent être intégrées dès la phase de conception du projet.</w:t>
      </w:r>
    </w:p>
    <w:p w14:paraId="11A41869" w14:textId="77777777" w:rsidR="00316157" w:rsidRDefault="00316157" w:rsidP="00316157">
      <w:pPr>
        <w:ind w:left="-709"/>
        <w:jc w:val="both"/>
        <w:rPr>
          <w:rFonts w:ascii="Sto TT" w:eastAsia="Verdana" w:hAnsi="Sto TT" w:cs="Arial"/>
          <w:sz w:val="18"/>
          <w:szCs w:val="18"/>
        </w:rPr>
      </w:pPr>
    </w:p>
    <w:p w14:paraId="5F493B06" w14:textId="77777777" w:rsidR="00316157" w:rsidRDefault="00316157" w:rsidP="00316157">
      <w:pPr>
        <w:spacing w:line="259" w:lineRule="auto"/>
        <w:ind w:left="-709"/>
        <w:jc w:val="both"/>
        <w:rPr>
          <w:rFonts w:ascii="Sto TT" w:eastAsia="Verdana" w:hAnsi="Sto TT" w:cs="Arial"/>
          <w:sz w:val="18"/>
          <w:szCs w:val="18"/>
        </w:rPr>
      </w:pPr>
      <w:r w:rsidRPr="1DCEF576">
        <w:rPr>
          <w:rFonts w:ascii="Sto TT" w:eastAsia="Verdana" w:hAnsi="Sto TT" w:cs="Arial"/>
          <w:sz w:val="18"/>
          <w:szCs w:val="18"/>
        </w:rPr>
        <w:t xml:space="preserve">Dans les zones où les dispositions parasismiques sont applicables, la sous-construction sera réalisée à l’aide de pattes-équerres de référence EB 50 de la société EJOT, en acier galvanisé S220 GD Z450, d’épaisseur 2,5 mm et de longueur variable de 100 à 250 </w:t>
      </w:r>
      <w:proofErr w:type="spellStart"/>
      <w:r w:rsidRPr="1DCEF576">
        <w:rPr>
          <w:rFonts w:ascii="Sto TT" w:eastAsia="Verdana" w:hAnsi="Sto TT" w:cs="Arial"/>
          <w:sz w:val="18"/>
          <w:szCs w:val="18"/>
        </w:rPr>
        <w:t>mm.</w:t>
      </w:r>
      <w:proofErr w:type="spellEnd"/>
      <w:r w:rsidRPr="1DCEF576">
        <w:rPr>
          <w:rFonts w:ascii="Sto TT" w:eastAsia="Verdana" w:hAnsi="Sto TT" w:cs="Arial"/>
          <w:sz w:val="18"/>
          <w:szCs w:val="18"/>
        </w:rPr>
        <w:t xml:space="preserve"> Les pattes-équerres seront mises en œuvre en disposition alternée (en quinconce), avec un entraxe maximal de 1 mètre.</w:t>
      </w:r>
    </w:p>
    <w:p w14:paraId="176A4EF1" w14:textId="77777777" w:rsidR="00316157" w:rsidRDefault="00316157" w:rsidP="00316157">
      <w:pPr>
        <w:ind w:left="-709"/>
        <w:jc w:val="both"/>
        <w:rPr>
          <w:rFonts w:ascii="Sto TT" w:eastAsia="Verdana" w:hAnsi="Sto TT" w:cs="Arial"/>
          <w:sz w:val="18"/>
          <w:szCs w:val="18"/>
        </w:rPr>
      </w:pPr>
    </w:p>
    <w:p w14:paraId="64632D65" w14:textId="77777777" w:rsidR="00316157" w:rsidRPr="005D5075" w:rsidRDefault="00316157" w:rsidP="00316157">
      <w:pPr>
        <w:ind w:left="-709"/>
        <w:jc w:val="both"/>
        <w:rPr>
          <w:rFonts w:ascii="Sto TT" w:eastAsia="Verdana" w:hAnsi="Sto TT" w:cs="Arial"/>
          <w:sz w:val="18"/>
          <w:szCs w:val="18"/>
        </w:rPr>
      </w:pPr>
    </w:p>
    <w:p w14:paraId="4BD15E39" w14:textId="77777777" w:rsidR="00316157" w:rsidRPr="005D5075" w:rsidRDefault="00316157" w:rsidP="00316157">
      <w:pPr>
        <w:rPr>
          <w:rFonts w:ascii="Sto TT" w:eastAsia="Verdana" w:hAnsi="Sto TT" w:cs="Arial"/>
          <w:sz w:val="18"/>
          <w:szCs w:val="18"/>
        </w:rPr>
      </w:pPr>
    </w:p>
    <w:p w14:paraId="3A188514" w14:textId="77777777" w:rsidR="00316157" w:rsidRPr="005D5075" w:rsidRDefault="00316157" w:rsidP="00316157">
      <w:pPr>
        <w:pBdr>
          <w:top w:val="single" w:sz="4" w:space="1" w:color="auto"/>
          <w:left w:val="single" w:sz="4" w:space="4" w:color="auto"/>
          <w:bottom w:val="single" w:sz="4" w:space="1" w:color="auto"/>
          <w:right w:val="single" w:sz="4" w:space="4" w:color="auto"/>
        </w:pBdr>
        <w:ind w:left="-709"/>
        <w:jc w:val="center"/>
        <w:rPr>
          <w:rFonts w:ascii="Sto TT" w:eastAsia="Verdana" w:hAnsi="Sto TT" w:cs="Arial"/>
          <w:b/>
          <w:bCs/>
          <w:color w:val="2F5496" w:themeColor="accent5" w:themeShade="BF"/>
          <w:sz w:val="22"/>
          <w:szCs w:val="22"/>
        </w:rPr>
      </w:pPr>
      <w:r w:rsidRPr="005D5075">
        <w:rPr>
          <w:rFonts w:ascii="Sto TT" w:eastAsia="Verdana" w:hAnsi="Sto TT" w:cs="Arial"/>
          <w:b/>
          <w:bCs/>
          <w:color w:val="2F5496" w:themeColor="accent5" w:themeShade="BF"/>
          <w:sz w:val="22"/>
          <w:szCs w:val="22"/>
        </w:rPr>
        <w:t xml:space="preserve">Jonction de système </w:t>
      </w:r>
      <w:proofErr w:type="spellStart"/>
      <w:r w:rsidRPr="005D5075">
        <w:rPr>
          <w:rFonts w:ascii="Sto TT" w:eastAsia="Verdana" w:hAnsi="Sto TT" w:cs="Arial"/>
          <w:b/>
          <w:bCs/>
          <w:color w:val="2F5496" w:themeColor="accent5" w:themeShade="BF"/>
          <w:sz w:val="22"/>
          <w:szCs w:val="22"/>
        </w:rPr>
        <w:t>StoVentec</w:t>
      </w:r>
      <w:proofErr w:type="spellEnd"/>
      <w:r w:rsidRPr="005D5075">
        <w:rPr>
          <w:rFonts w:ascii="Sto TT" w:eastAsia="Verdana" w:hAnsi="Sto TT" w:cs="Arial"/>
          <w:b/>
          <w:bCs/>
          <w:color w:val="2F5496" w:themeColor="accent5" w:themeShade="BF"/>
          <w:sz w:val="22"/>
          <w:szCs w:val="22"/>
        </w:rPr>
        <w:t xml:space="preserve"> - </w:t>
      </w:r>
      <w:proofErr w:type="spellStart"/>
      <w:r w:rsidRPr="005D5075">
        <w:rPr>
          <w:rFonts w:ascii="Sto TT" w:eastAsia="Verdana" w:hAnsi="Sto TT" w:cs="Arial"/>
          <w:b/>
          <w:bCs/>
          <w:color w:val="2F5496" w:themeColor="accent5" w:themeShade="BF"/>
          <w:sz w:val="22"/>
          <w:szCs w:val="22"/>
        </w:rPr>
        <w:t>StoTherm</w:t>
      </w:r>
      <w:proofErr w:type="spellEnd"/>
    </w:p>
    <w:p w14:paraId="59B617F9" w14:textId="77777777" w:rsidR="00316157" w:rsidRPr="005D5075" w:rsidRDefault="00316157" w:rsidP="00316157">
      <w:pPr>
        <w:ind w:left="-709"/>
        <w:jc w:val="both"/>
        <w:rPr>
          <w:rFonts w:ascii="Sto TT" w:eastAsia="Verdana" w:hAnsi="Sto TT" w:cs="Arial"/>
          <w:b/>
          <w:bCs/>
          <w:sz w:val="18"/>
          <w:szCs w:val="18"/>
          <w:u w:val="single"/>
        </w:rPr>
      </w:pPr>
    </w:p>
    <w:p w14:paraId="39C27EC7"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 xml:space="preserve">Jonction horizontale entre système ETICS </w:t>
      </w:r>
      <w:proofErr w:type="spellStart"/>
      <w:r w:rsidRPr="005D5075">
        <w:rPr>
          <w:rFonts w:ascii="Sto TT" w:eastAsia="Verdana" w:hAnsi="Sto TT" w:cs="Arial"/>
          <w:b/>
          <w:bCs/>
          <w:sz w:val="18"/>
          <w:szCs w:val="18"/>
          <w:u w:val="single"/>
        </w:rPr>
        <w:t>StoTherm</w:t>
      </w:r>
      <w:proofErr w:type="spellEnd"/>
      <w:r w:rsidRPr="005D5075">
        <w:rPr>
          <w:rFonts w:ascii="Sto TT" w:eastAsia="Verdana" w:hAnsi="Sto TT" w:cs="Arial"/>
          <w:b/>
          <w:bCs/>
          <w:sz w:val="18"/>
          <w:szCs w:val="18"/>
          <w:u w:val="single"/>
        </w:rPr>
        <w:t xml:space="preserve"> et </w:t>
      </w:r>
      <w:proofErr w:type="spellStart"/>
      <w:r w:rsidRPr="005D5075">
        <w:rPr>
          <w:rFonts w:ascii="Sto TT" w:eastAsia="Verdana" w:hAnsi="Sto TT" w:cs="Arial"/>
          <w:b/>
          <w:bCs/>
          <w:sz w:val="18"/>
          <w:szCs w:val="18"/>
          <w:u w:val="single"/>
        </w:rPr>
        <w:t>StoVentec</w:t>
      </w:r>
      <w:proofErr w:type="spellEnd"/>
    </w:p>
    <w:p w14:paraId="75867188" w14:textId="77777777" w:rsidR="00316157" w:rsidRPr="005D5075" w:rsidRDefault="00316157" w:rsidP="00560418">
      <w:pPr>
        <w:numPr>
          <w:ilvl w:val="0"/>
          <w:numId w:val="8"/>
        </w:numPr>
        <w:jc w:val="both"/>
        <w:rPr>
          <w:rFonts w:ascii="Sto TT" w:eastAsia="Verdana" w:hAnsi="Sto TT" w:cs="Arial"/>
          <w:b/>
          <w:bCs/>
          <w:sz w:val="18"/>
          <w:szCs w:val="18"/>
          <w:u w:val="single"/>
        </w:rPr>
      </w:pPr>
      <w:r w:rsidRPr="005D5075">
        <w:rPr>
          <w:rFonts w:ascii="Sto TT" w:eastAsia="Verdana" w:hAnsi="Sto TT" w:cs="Arial"/>
          <w:sz w:val="18"/>
          <w:szCs w:val="18"/>
        </w:rPr>
        <w:t xml:space="preserve">En cas de mixité avec un système d’ITE </w:t>
      </w:r>
      <w:proofErr w:type="spellStart"/>
      <w:r w:rsidRPr="005D5075">
        <w:rPr>
          <w:rFonts w:ascii="Sto TT" w:eastAsia="Verdana" w:hAnsi="Sto TT" w:cs="Arial"/>
          <w:sz w:val="18"/>
          <w:szCs w:val="18"/>
        </w:rPr>
        <w:t>StoTherm</w:t>
      </w:r>
      <w:proofErr w:type="spellEnd"/>
      <w:r w:rsidRPr="005D5075">
        <w:rPr>
          <w:rFonts w:ascii="Sto TT" w:eastAsia="Verdana" w:hAnsi="Sto TT" w:cs="Arial"/>
          <w:sz w:val="18"/>
          <w:szCs w:val="18"/>
        </w:rPr>
        <w:t xml:space="preserve"> : </w:t>
      </w:r>
    </w:p>
    <w:p w14:paraId="41BE550F" w14:textId="77777777" w:rsidR="00316157" w:rsidRPr="005D5075" w:rsidRDefault="00316157" w:rsidP="00560418">
      <w:pPr>
        <w:numPr>
          <w:ilvl w:val="1"/>
          <w:numId w:val="8"/>
        </w:numPr>
        <w:jc w:val="both"/>
        <w:rPr>
          <w:rFonts w:ascii="Sto TT" w:eastAsia="Verdana" w:hAnsi="Sto TT" w:cs="Arial"/>
          <w:b/>
          <w:bCs/>
          <w:sz w:val="18"/>
          <w:szCs w:val="18"/>
          <w:u w:val="single"/>
        </w:rPr>
      </w:pPr>
      <w:r w:rsidRPr="005D5075">
        <w:rPr>
          <w:rFonts w:ascii="Sto TT" w:eastAsia="Verdana" w:hAnsi="Sto TT" w:cs="Arial"/>
          <w:sz w:val="18"/>
          <w:szCs w:val="18"/>
        </w:rPr>
        <w:t>La jonction peut être réalisée par joint ouvert.</w:t>
      </w:r>
    </w:p>
    <w:p w14:paraId="3DD1F498" w14:textId="77777777" w:rsidR="00316157" w:rsidRPr="005D5075" w:rsidRDefault="00316157" w:rsidP="00560418">
      <w:pPr>
        <w:numPr>
          <w:ilvl w:val="1"/>
          <w:numId w:val="8"/>
        </w:numPr>
        <w:jc w:val="both"/>
        <w:rPr>
          <w:rFonts w:ascii="Sto TT" w:eastAsia="Verdana" w:hAnsi="Sto TT" w:cs="Arial"/>
          <w:b/>
          <w:bCs/>
          <w:sz w:val="18"/>
          <w:szCs w:val="18"/>
          <w:u w:val="single"/>
        </w:rPr>
      </w:pPr>
      <w:r w:rsidRPr="005D5075">
        <w:rPr>
          <w:rFonts w:ascii="Sto TT" w:eastAsia="Verdana" w:hAnsi="Sto TT" w:cs="Arial"/>
          <w:sz w:val="18"/>
          <w:szCs w:val="18"/>
        </w:rPr>
        <w:t>Le système ITE est arrêté par un profilé métallique.</w:t>
      </w:r>
    </w:p>
    <w:p w14:paraId="3AA14462" w14:textId="77777777" w:rsidR="00316157" w:rsidRPr="005D5075" w:rsidRDefault="00316157" w:rsidP="00316157">
      <w:pPr>
        <w:ind w:left="-709"/>
        <w:jc w:val="center"/>
        <w:rPr>
          <w:rFonts w:ascii="Sto TT" w:eastAsia="Verdana" w:hAnsi="Sto TT" w:cs="Verdana"/>
          <w:sz w:val="18"/>
          <w:szCs w:val="18"/>
        </w:rPr>
      </w:pPr>
      <w:r w:rsidRPr="005D5075">
        <w:rPr>
          <w:rFonts w:ascii="Sto TT" w:eastAsia="Verdana" w:hAnsi="Sto TT" w:cs="Verdana"/>
          <w:noProof/>
          <w:sz w:val="18"/>
          <w:szCs w:val="18"/>
        </w:rPr>
        <w:drawing>
          <wp:inline distT="0" distB="0" distL="0" distR="0" wp14:anchorId="2DB2E711" wp14:editId="43573824">
            <wp:extent cx="2973600" cy="3240000"/>
            <wp:effectExtent l="0" t="0" r="0" b="0"/>
            <wp:docPr id="456591925" name="Image 1" descr="Une image contenant diagramme, texte, croquis,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591925" name="Image 1" descr="Une image contenant diagramme, texte, croquis, Parallèle&#10;&#10;Le contenu généré par l’IA peut être incorrect."/>
                    <pic:cNvPicPr/>
                  </pic:nvPicPr>
                  <pic:blipFill>
                    <a:blip r:embed="rId22"/>
                    <a:stretch>
                      <a:fillRect/>
                    </a:stretch>
                  </pic:blipFill>
                  <pic:spPr>
                    <a:xfrm>
                      <a:off x="0" y="0"/>
                      <a:ext cx="2973600" cy="3240000"/>
                    </a:xfrm>
                    <a:prstGeom prst="rect">
                      <a:avLst/>
                    </a:prstGeom>
                  </pic:spPr>
                </pic:pic>
              </a:graphicData>
            </a:graphic>
          </wp:inline>
        </w:drawing>
      </w:r>
      <w:r w:rsidRPr="005D5075">
        <w:rPr>
          <w:rFonts w:ascii="Sto TT" w:eastAsia="Verdana" w:hAnsi="Sto TT" w:cs="Verdana"/>
          <w:noProof/>
          <w:sz w:val="18"/>
          <w:szCs w:val="18"/>
        </w:rPr>
        <w:t xml:space="preserve">  </w:t>
      </w:r>
      <w:r w:rsidRPr="005D5075">
        <w:rPr>
          <w:rFonts w:ascii="Sto TT" w:eastAsia="Verdana" w:hAnsi="Sto TT" w:cs="Verdana"/>
          <w:noProof/>
          <w:sz w:val="18"/>
          <w:szCs w:val="18"/>
        </w:rPr>
        <w:drawing>
          <wp:inline distT="0" distB="0" distL="0" distR="0" wp14:anchorId="04118311" wp14:editId="2EDDC951">
            <wp:extent cx="2988000" cy="3240000"/>
            <wp:effectExtent l="0" t="0" r="3175" b="0"/>
            <wp:docPr id="743634500" name="Image 1" descr="Une image contenant diagramme, texte, Parallèle, croqui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34500" name="Image 1" descr="Une image contenant diagramme, texte, Parallèle, croquis&#10;&#10;Le contenu généré par l’IA peut être incorrect."/>
                    <pic:cNvPicPr/>
                  </pic:nvPicPr>
                  <pic:blipFill>
                    <a:blip r:embed="rId23"/>
                    <a:stretch>
                      <a:fillRect/>
                    </a:stretch>
                  </pic:blipFill>
                  <pic:spPr>
                    <a:xfrm>
                      <a:off x="0" y="0"/>
                      <a:ext cx="2988000" cy="3240000"/>
                    </a:xfrm>
                    <a:prstGeom prst="rect">
                      <a:avLst/>
                    </a:prstGeom>
                  </pic:spPr>
                </pic:pic>
              </a:graphicData>
            </a:graphic>
          </wp:inline>
        </w:drawing>
      </w:r>
    </w:p>
    <w:p w14:paraId="57C94349" w14:textId="77777777" w:rsidR="00316157" w:rsidRPr="005D5075" w:rsidRDefault="00316157" w:rsidP="00316157">
      <w:pPr>
        <w:ind w:left="-709"/>
        <w:jc w:val="both"/>
        <w:rPr>
          <w:rFonts w:ascii="Sto TT" w:eastAsia="Verdana" w:hAnsi="Sto TT" w:cs="Arial"/>
          <w:b/>
          <w:bCs/>
          <w:sz w:val="18"/>
          <w:szCs w:val="18"/>
          <w:u w:val="single"/>
        </w:rPr>
      </w:pPr>
    </w:p>
    <w:p w14:paraId="5F271FA2"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 xml:space="preserve">Jonction verticale entre système ETICS </w:t>
      </w:r>
      <w:proofErr w:type="spellStart"/>
      <w:r w:rsidRPr="005D5075">
        <w:rPr>
          <w:rFonts w:ascii="Sto TT" w:eastAsia="Verdana" w:hAnsi="Sto TT" w:cs="Arial"/>
          <w:b/>
          <w:bCs/>
          <w:sz w:val="18"/>
          <w:szCs w:val="18"/>
          <w:u w:val="single"/>
        </w:rPr>
        <w:t>StoTherm</w:t>
      </w:r>
      <w:proofErr w:type="spellEnd"/>
      <w:r w:rsidRPr="005D5075">
        <w:rPr>
          <w:rFonts w:ascii="Sto TT" w:eastAsia="Verdana" w:hAnsi="Sto TT" w:cs="Arial"/>
          <w:b/>
          <w:bCs/>
          <w:sz w:val="18"/>
          <w:szCs w:val="18"/>
          <w:u w:val="single"/>
        </w:rPr>
        <w:t xml:space="preserve"> et </w:t>
      </w:r>
      <w:proofErr w:type="spellStart"/>
      <w:r w:rsidRPr="005D5075">
        <w:rPr>
          <w:rFonts w:ascii="Sto TT" w:eastAsia="Verdana" w:hAnsi="Sto TT" w:cs="Arial"/>
          <w:b/>
          <w:bCs/>
          <w:sz w:val="18"/>
          <w:szCs w:val="18"/>
          <w:u w:val="single"/>
        </w:rPr>
        <w:t>StoVentec</w:t>
      </w:r>
      <w:proofErr w:type="spellEnd"/>
    </w:p>
    <w:p w14:paraId="7AF57B11" w14:textId="77777777" w:rsidR="00316157" w:rsidRPr="005D5075" w:rsidRDefault="00316157" w:rsidP="00560418">
      <w:pPr>
        <w:numPr>
          <w:ilvl w:val="0"/>
          <w:numId w:val="7"/>
        </w:numPr>
        <w:jc w:val="both"/>
        <w:rPr>
          <w:rFonts w:ascii="Sto TT" w:eastAsia="Verdana" w:hAnsi="Sto TT" w:cs="Arial"/>
          <w:b/>
          <w:bCs/>
          <w:sz w:val="18"/>
          <w:szCs w:val="18"/>
          <w:u w:val="single"/>
        </w:rPr>
      </w:pPr>
      <w:r w:rsidRPr="005D5075">
        <w:rPr>
          <w:rFonts w:ascii="Sto TT" w:eastAsia="Verdana" w:hAnsi="Sto TT" w:cs="Arial"/>
          <w:sz w:val="18"/>
          <w:szCs w:val="18"/>
        </w:rPr>
        <w:t xml:space="preserve">La jonction peut être réalisée : </w:t>
      </w:r>
    </w:p>
    <w:p w14:paraId="367F26A0" w14:textId="77777777" w:rsidR="00316157" w:rsidRPr="005D5075" w:rsidRDefault="00316157" w:rsidP="00560418">
      <w:pPr>
        <w:numPr>
          <w:ilvl w:val="1"/>
          <w:numId w:val="7"/>
        </w:numPr>
        <w:jc w:val="both"/>
        <w:rPr>
          <w:rFonts w:ascii="Sto TT" w:eastAsia="Verdana" w:hAnsi="Sto TT" w:cs="Arial"/>
          <w:b/>
          <w:bCs/>
          <w:sz w:val="18"/>
          <w:szCs w:val="18"/>
          <w:u w:val="single"/>
        </w:rPr>
      </w:pPr>
      <w:r w:rsidRPr="005D5075">
        <w:rPr>
          <w:rFonts w:ascii="Sto TT" w:eastAsia="Verdana" w:hAnsi="Sto TT" w:cs="Arial"/>
          <w:sz w:val="18"/>
          <w:szCs w:val="18"/>
        </w:rPr>
        <w:t>Soit par un joint creux de 8 mm</w:t>
      </w:r>
    </w:p>
    <w:p w14:paraId="46F98DE2" w14:textId="77777777" w:rsidR="00316157" w:rsidRPr="005D5075" w:rsidRDefault="00316157" w:rsidP="00560418">
      <w:pPr>
        <w:numPr>
          <w:ilvl w:val="1"/>
          <w:numId w:val="7"/>
        </w:numPr>
        <w:jc w:val="both"/>
        <w:rPr>
          <w:rFonts w:ascii="Sto TT" w:eastAsia="Verdana" w:hAnsi="Sto TT" w:cs="Arial"/>
          <w:b/>
          <w:bCs/>
          <w:sz w:val="18"/>
          <w:szCs w:val="18"/>
          <w:u w:val="single"/>
        </w:rPr>
      </w:pPr>
      <w:r w:rsidRPr="005D5075">
        <w:rPr>
          <w:rFonts w:ascii="Sto TT" w:eastAsia="Verdana" w:hAnsi="Sto TT" w:cs="Arial"/>
          <w:sz w:val="18"/>
          <w:szCs w:val="18"/>
        </w:rPr>
        <w:t xml:space="preserve">Soit par désolidarisation avec un </w:t>
      </w:r>
      <w:proofErr w:type="spellStart"/>
      <w:r w:rsidRPr="005D5075">
        <w:rPr>
          <w:rFonts w:ascii="Sto TT" w:eastAsia="Verdana" w:hAnsi="Sto TT" w:cs="Arial"/>
          <w:sz w:val="18"/>
          <w:szCs w:val="18"/>
        </w:rPr>
        <w:t>StoCompribande</w:t>
      </w:r>
      <w:proofErr w:type="spellEnd"/>
    </w:p>
    <w:p w14:paraId="6EC4F50F" w14:textId="77777777" w:rsidR="00316157" w:rsidRPr="005D5075" w:rsidRDefault="00316157" w:rsidP="00316157">
      <w:pPr>
        <w:ind w:left="-709"/>
        <w:jc w:val="center"/>
        <w:rPr>
          <w:rFonts w:ascii="Sto TT" w:eastAsia="Verdana" w:hAnsi="Sto TT" w:cs="Arial"/>
          <w:sz w:val="18"/>
          <w:szCs w:val="18"/>
        </w:rPr>
      </w:pPr>
      <w:r w:rsidRPr="005D5075">
        <w:rPr>
          <w:rFonts w:ascii="Sto TT" w:eastAsia="Verdana" w:hAnsi="Sto TT" w:cs="Arial"/>
          <w:noProof/>
          <w:sz w:val="18"/>
          <w:szCs w:val="18"/>
        </w:rPr>
        <w:lastRenderedPageBreak/>
        <w:t xml:space="preserve">     </w:t>
      </w:r>
      <w:r w:rsidRPr="005D5075">
        <w:rPr>
          <w:rFonts w:ascii="Sto TT" w:eastAsia="Verdana" w:hAnsi="Sto TT" w:cs="Arial"/>
          <w:noProof/>
          <w:sz w:val="18"/>
          <w:szCs w:val="18"/>
        </w:rPr>
        <w:drawing>
          <wp:inline distT="0" distB="0" distL="0" distR="0" wp14:anchorId="0D80ED5D" wp14:editId="261EC075">
            <wp:extent cx="3106616" cy="3099728"/>
            <wp:effectExtent l="0" t="0" r="0" b="5715"/>
            <wp:docPr id="2077296453" name="Image 1" descr="Une image contenant diagramme, Parallèle, Dessin techniqu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96453" name="Image 1" descr="Une image contenant diagramme, Parallèle, Dessin technique, ligne&#10;&#10;Le contenu généré par l’IA peut être incorrect."/>
                    <pic:cNvPicPr/>
                  </pic:nvPicPr>
                  <pic:blipFill>
                    <a:blip r:embed="rId24">
                      <a:extLst>
                        <a:ext uri="{28A0092B-C50C-407E-A947-70E740481C1C}">
                          <a14:useLocalDpi xmlns:a14="http://schemas.microsoft.com/office/drawing/2010/main" val="0"/>
                        </a:ext>
                      </a:extLst>
                    </a:blip>
                    <a:stretch>
                      <a:fillRect/>
                    </a:stretch>
                  </pic:blipFill>
                  <pic:spPr>
                    <a:xfrm>
                      <a:off x="0" y="0"/>
                      <a:ext cx="3111559" cy="3104660"/>
                    </a:xfrm>
                    <a:prstGeom prst="rect">
                      <a:avLst/>
                    </a:prstGeom>
                  </pic:spPr>
                </pic:pic>
              </a:graphicData>
            </a:graphic>
          </wp:inline>
        </w:drawing>
      </w:r>
    </w:p>
    <w:p w14:paraId="14FA381D" w14:textId="77777777" w:rsidR="00316157" w:rsidRPr="005D5075" w:rsidRDefault="00316157" w:rsidP="00316157">
      <w:pPr>
        <w:ind w:left="-709"/>
        <w:jc w:val="both"/>
        <w:rPr>
          <w:rFonts w:ascii="Sto TT" w:eastAsia="Verdana" w:hAnsi="Sto TT" w:cs="Segoe UI Emoji"/>
          <w:b/>
          <w:bCs/>
          <w:sz w:val="18"/>
          <w:szCs w:val="18"/>
        </w:rPr>
      </w:pPr>
    </w:p>
    <w:p w14:paraId="5E476728" w14:textId="77777777" w:rsidR="00316157" w:rsidRPr="005D5075" w:rsidRDefault="00316157" w:rsidP="00316157">
      <w:pPr>
        <w:ind w:left="-709"/>
        <w:jc w:val="both"/>
        <w:rPr>
          <w:rFonts w:ascii="Sto TT" w:eastAsia="Verdana" w:hAnsi="Sto TT" w:cs="Arial"/>
          <w:b/>
          <w:bCs/>
          <w:sz w:val="18"/>
          <w:szCs w:val="18"/>
          <w:u w:val="single"/>
        </w:rPr>
      </w:pPr>
      <w:r w:rsidRPr="005D5075">
        <w:rPr>
          <w:rFonts w:ascii="Sto TT" w:eastAsia="Verdana" w:hAnsi="Sto TT" w:cs="Arial"/>
          <w:b/>
          <w:bCs/>
          <w:sz w:val="18"/>
          <w:szCs w:val="18"/>
          <w:u w:val="single"/>
        </w:rPr>
        <w:t>Cas spécifiques réglementaires</w:t>
      </w:r>
    </w:p>
    <w:p w14:paraId="744D5354"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Pour les bâtiments de 3e famille ou ERP du premier groupe, les détails de juxtaposition entre ETICS et bardage doivent suivre : APL EFR-16-001538 C pour </w:t>
      </w:r>
      <w:proofErr w:type="spellStart"/>
      <w:r w:rsidRPr="005D5075">
        <w:rPr>
          <w:rFonts w:ascii="Sto TT" w:eastAsia="Verdana" w:hAnsi="Sto TT" w:cs="Arial"/>
          <w:sz w:val="18"/>
          <w:szCs w:val="18"/>
        </w:rPr>
        <w:t>StoVentec</w:t>
      </w:r>
      <w:proofErr w:type="spellEnd"/>
      <w:r w:rsidRPr="005D5075">
        <w:rPr>
          <w:rFonts w:ascii="Sto TT" w:eastAsia="Verdana" w:hAnsi="Sto TT" w:cs="Arial"/>
          <w:sz w:val="18"/>
          <w:szCs w:val="18"/>
        </w:rPr>
        <w:t xml:space="preserve"> R.</w:t>
      </w:r>
    </w:p>
    <w:p w14:paraId="5582A9A3" w14:textId="77777777" w:rsidR="00316157" w:rsidRPr="005D5075" w:rsidRDefault="00316157" w:rsidP="00316157">
      <w:pPr>
        <w:ind w:left="-709"/>
        <w:jc w:val="both"/>
        <w:rPr>
          <w:rFonts w:ascii="Sto TT" w:eastAsia="Verdana" w:hAnsi="Sto TT" w:cs="Arial"/>
          <w:b/>
          <w:bCs/>
          <w:sz w:val="18"/>
          <w:szCs w:val="18"/>
          <w:u w:val="single"/>
        </w:rPr>
      </w:pPr>
    </w:p>
    <w:p w14:paraId="10B2B041" w14:textId="77777777" w:rsidR="00316157" w:rsidRPr="005D5075" w:rsidRDefault="00316157" w:rsidP="00316157">
      <w:pPr>
        <w:ind w:left="-709"/>
        <w:jc w:val="center"/>
        <w:rPr>
          <w:rFonts w:ascii="Sto TT" w:eastAsia="Verdana" w:hAnsi="Sto TT" w:cs="Arial"/>
          <w:noProof/>
          <w:sz w:val="18"/>
          <w:szCs w:val="18"/>
        </w:rPr>
      </w:pPr>
      <w:r w:rsidRPr="005D5075">
        <w:rPr>
          <w:rFonts w:ascii="Sto TT" w:eastAsia="Verdana" w:hAnsi="Sto TT" w:cs="Arial"/>
          <w:noProof/>
          <w:sz w:val="18"/>
          <w:szCs w:val="18"/>
        </w:rPr>
        <w:drawing>
          <wp:inline distT="0" distB="0" distL="0" distR="0" wp14:anchorId="04CA20C6" wp14:editId="5957FE5B">
            <wp:extent cx="3171600" cy="3600000"/>
            <wp:effectExtent l="0" t="0" r="0" b="635"/>
            <wp:docPr id="247410956" name="Image 1" descr="Une image contenant texte, diagramme, capture d’écran,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10956" name="Image 1" descr="Une image contenant texte, diagramme, capture d’écran, ligne&#10;&#10;Le contenu généré par l’IA peut être incorrect."/>
                    <pic:cNvPicPr/>
                  </pic:nvPicPr>
                  <pic:blipFill>
                    <a:blip r:embed="rId25"/>
                    <a:stretch>
                      <a:fillRect/>
                    </a:stretch>
                  </pic:blipFill>
                  <pic:spPr>
                    <a:xfrm>
                      <a:off x="0" y="0"/>
                      <a:ext cx="3171600" cy="3600000"/>
                    </a:xfrm>
                    <a:prstGeom prst="rect">
                      <a:avLst/>
                    </a:prstGeom>
                  </pic:spPr>
                </pic:pic>
              </a:graphicData>
            </a:graphic>
          </wp:inline>
        </w:drawing>
      </w:r>
      <w:r w:rsidRPr="005D5075">
        <w:rPr>
          <w:rFonts w:ascii="Sto TT" w:eastAsia="Verdana" w:hAnsi="Sto TT" w:cs="Arial"/>
          <w:noProof/>
          <w:sz w:val="18"/>
          <w:szCs w:val="18"/>
        </w:rPr>
        <w:t xml:space="preserve">   </w:t>
      </w:r>
      <w:r w:rsidRPr="005D5075">
        <w:rPr>
          <w:rFonts w:ascii="Sto TT" w:eastAsia="Verdana" w:hAnsi="Sto TT" w:cs="Arial"/>
          <w:noProof/>
          <w:sz w:val="18"/>
          <w:szCs w:val="18"/>
        </w:rPr>
        <w:drawing>
          <wp:inline distT="0" distB="0" distL="0" distR="0" wp14:anchorId="1FC5CC44" wp14:editId="023A1311">
            <wp:extent cx="3186000" cy="3600000"/>
            <wp:effectExtent l="0" t="0" r="0" b="635"/>
            <wp:docPr id="1881998213" name="Image 1" descr="Une image contenant diagramme, texte, capture d’écran,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98213" name="Image 1" descr="Une image contenant diagramme, texte, capture d’écran, Plan&#10;&#10;Le contenu généré par l’IA peut être incorrect."/>
                    <pic:cNvPicPr/>
                  </pic:nvPicPr>
                  <pic:blipFill>
                    <a:blip r:embed="rId26"/>
                    <a:stretch>
                      <a:fillRect/>
                    </a:stretch>
                  </pic:blipFill>
                  <pic:spPr>
                    <a:xfrm>
                      <a:off x="0" y="0"/>
                      <a:ext cx="3186000" cy="3600000"/>
                    </a:xfrm>
                    <a:prstGeom prst="rect">
                      <a:avLst/>
                    </a:prstGeom>
                  </pic:spPr>
                </pic:pic>
              </a:graphicData>
            </a:graphic>
          </wp:inline>
        </w:drawing>
      </w:r>
    </w:p>
    <w:p w14:paraId="32205F84" w14:textId="77777777" w:rsidR="00316157" w:rsidRPr="005D5075" w:rsidRDefault="00316157" w:rsidP="00316157">
      <w:pPr>
        <w:ind w:left="-709"/>
        <w:jc w:val="center"/>
        <w:rPr>
          <w:rFonts w:ascii="Sto TT" w:eastAsia="Verdana" w:hAnsi="Sto TT" w:cs="Arial"/>
          <w:sz w:val="18"/>
          <w:szCs w:val="18"/>
        </w:rPr>
      </w:pPr>
    </w:p>
    <w:p w14:paraId="1EFD23BF" w14:textId="77777777" w:rsidR="00316157" w:rsidRPr="005D5075" w:rsidRDefault="00316157" w:rsidP="00316157">
      <w:pPr>
        <w:ind w:left="-709"/>
        <w:jc w:val="center"/>
        <w:rPr>
          <w:rFonts w:ascii="Sto TT" w:eastAsia="Verdana" w:hAnsi="Sto TT" w:cs="Arial"/>
          <w:sz w:val="18"/>
          <w:szCs w:val="18"/>
        </w:rPr>
      </w:pPr>
      <w:r w:rsidRPr="005D5075">
        <w:rPr>
          <w:rFonts w:ascii="Sto TT" w:eastAsia="Verdana" w:hAnsi="Sto TT" w:cs="Arial"/>
          <w:noProof/>
          <w:sz w:val="18"/>
          <w:szCs w:val="18"/>
        </w:rPr>
        <w:lastRenderedPageBreak/>
        <w:drawing>
          <wp:inline distT="0" distB="0" distL="0" distR="0" wp14:anchorId="08FA15CC" wp14:editId="7D22E370">
            <wp:extent cx="2739600" cy="3600000"/>
            <wp:effectExtent l="0" t="0" r="3810" b="635"/>
            <wp:docPr id="642395495" name="Image 1" descr="Une image contenant ligne, capture d’écran, diagramme, Rect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95495" name="Image 1" descr="Une image contenant ligne, capture d’écran, diagramme, Rectangle&#10;&#10;Le contenu généré par l’IA peut être incorrect."/>
                    <pic:cNvPicPr/>
                  </pic:nvPicPr>
                  <pic:blipFill>
                    <a:blip r:embed="rId27"/>
                    <a:stretch>
                      <a:fillRect/>
                    </a:stretch>
                  </pic:blipFill>
                  <pic:spPr>
                    <a:xfrm>
                      <a:off x="0" y="0"/>
                      <a:ext cx="2739600" cy="3600000"/>
                    </a:xfrm>
                    <a:prstGeom prst="rect">
                      <a:avLst/>
                    </a:prstGeom>
                  </pic:spPr>
                </pic:pic>
              </a:graphicData>
            </a:graphic>
          </wp:inline>
        </w:drawing>
      </w:r>
    </w:p>
    <w:p w14:paraId="7051133A" w14:textId="77777777" w:rsidR="00316157" w:rsidRPr="005D5075" w:rsidRDefault="00316157" w:rsidP="00316157">
      <w:pPr>
        <w:rPr>
          <w:rFonts w:ascii="Sto TT" w:eastAsia="Verdana" w:hAnsi="Sto TT" w:cs="Arial"/>
          <w:b/>
          <w:bCs/>
          <w:sz w:val="18"/>
          <w:szCs w:val="18"/>
        </w:rPr>
      </w:pPr>
    </w:p>
    <w:tbl>
      <w:tblPr>
        <w:tblW w:w="0" w:type="auto"/>
        <w:tblInd w:w="-762" w:type="dxa"/>
        <w:tblLook w:val="04A0" w:firstRow="1" w:lastRow="0" w:firstColumn="1" w:lastColumn="0" w:noHBand="0" w:noVBand="1"/>
      </w:tblPr>
      <w:tblGrid>
        <w:gridCol w:w="10349"/>
      </w:tblGrid>
      <w:tr w:rsidR="00316157" w:rsidRPr="005D5075" w14:paraId="5F0228CD" w14:textId="77777777" w:rsidTr="00181368">
        <w:trPr>
          <w:trHeight w:val="248"/>
        </w:trPr>
        <w:tc>
          <w:tcPr>
            <w:tcW w:w="10349" w:type="dxa"/>
          </w:tcPr>
          <w:p w14:paraId="715B84CA" w14:textId="77777777" w:rsidR="00316157" w:rsidRPr="005D5075" w:rsidRDefault="00316157" w:rsidP="00181368">
            <w:pPr>
              <w:jc w:val="center"/>
              <w:rPr>
                <w:rFonts w:ascii="Sto TT" w:eastAsia="Verdana" w:hAnsi="Sto TT" w:cs="Arial"/>
                <w:b/>
                <w:bCs/>
                <w:color w:val="2F5496" w:themeColor="accent5" w:themeShade="BF"/>
                <w:sz w:val="22"/>
                <w:szCs w:val="22"/>
              </w:rPr>
            </w:pPr>
            <w:r>
              <w:rPr>
                <w:rFonts w:ascii="Sto TT" w:hAnsi="Sto TT" w:cs="Arial"/>
                <w:bCs/>
                <w:noProof/>
                <w:sz w:val="2"/>
                <w:szCs w:val="2"/>
              </w:rPr>
              <mc:AlternateContent>
                <mc:Choice Requires="wps">
                  <w:drawing>
                    <wp:anchor distT="0" distB="0" distL="114300" distR="114300" simplePos="0" relativeHeight="251664384" behindDoc="0" locked="0" layoutInCell="1" allowOverlap="1" wp14:anchorId="3E7C3697" wp14:editId="3E47139A">
                      <wp:simplePos x="0" y="0"/>
                      <wp:positionH relativeFrom="column">
                        <wp:posOffset>1270</wp:posOffset>
                      </wp:positionH>
                      <wp:positionV relativeFrom="paragraph">
                        <wp:posOffset>-635</wp:posOffset>
                      </wp:positionV>
                      <wp:extent cx="6696075" cy="200025"/>
                      <wp:effectExtent l="0" t="0" r="28575" b="28575"/>
                      <wp:wrapNone/>
                      <wp:docPr id="197709232" name="Rectangle 19"/>
                      <wp:cNvGraphicFramePr/>
                      <a:graphic xmlns:a="http://schemas.openxmlformats.org/drawingml/2006/main">
                        <a:graphicData uri="http://schemas.microsoft.com/office/word/2010/wordprocessingShape">
                          <wps:wsp>
                            <wps:cNvSpPr/>
                            <wps:spPr>
                              <a:xfrm>
                                <a:off x="0" y="0"/>
                                <a:ext cx="6696075" cy="2000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6E8008" id="Rectangle 19" o:spid="_x0000_s1026" style="position:absolute;margin-left:.1pt;margin-top:-.05pt;width:527.25pt;height:1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" filled="f" strokecolor="#091723 [484]" strokeweight="1pt"/>
                  </w:pict>
                </mc:Fallback>
              </mc:AlternateContent>
            </w:r>
            <w:r w:rsidRPr="005D5075">
              <w:rPr>
                <w:rFonts w:ascii="Sto TT" w:hAnsi="Sto TT"/>
                <w:sz w:val="22"/>
                <w:szCs w:val="22"/>
              </w:rPr>
              <w:br w:type="page"/>
            </w:r>
            <w:r w:rsidRPr="005D5075">
              <w:rPr>
                <w:rFonts w:ascii="Sto TT" w:eastAsia="Verdana" w:hAnsi="Sto TT" w:cs="Arial"/>
                <w:b/>
                <w:bCs/>
                <w:color w:val="2F5496" w:themeColor="accent5" w:themeShade="BF"/>
                <w:sz w:val="22"/>
                <w:szCs w:val="22"/>
              </w:rPr>
              <w:t>Traitement des parties semi-enterrées</w:t>
            </w:r>
          </w:p>
        </w:tc>
      </w:tr>
    </w:tbl>
    <w:p w14:paraId="70E41E35" w14:textId="77777777" w:rsidR="00316157" w:rsidRPr="005D5075" w:rsidRDefault="00316157" w:rsidP="00316157">
      <w:pPr>
        <w:ind w:left="-709" w:right="1"/>
        <w:jc w:val="both"/>
        <w:rPr>
          <w:rFonts w:ascii="Sto TT" w:eastAsia="Verdana" w:hAnsi="Sto TT" w:cs="Arial"/>
          <w:b/>
          <w:bCs/>
          <w:sz w:val="18"/>
          <w:szCs w:val="18"/>
          <w:u w:val="single"/>
        </w:rPr>
      </w:pPr>
    </w:p>
    <w:p w14:paraId="7A67BA02" w14:textId="77777777" w:rsidR="00316157" w:rsidRPr="005D5075" w:rsidRDefault="00316157" w:rsidP="00316157">
      <w:pPr>
        <w:ind w:left="-709" w:right="1"/>
        <w:jc w:val="both"/>
        <w:rPr>
          <w:rFonts w:ascii="Sto TT" w:eastAsia="Verdana" w:hAnsi="Sto TT" w:cs="Arial"/>
          <w:b/>
          <w:bCs/>
          <w:sz w:val="18"/>
          <w:szCs w:val="18"/>
          <w:u w:val="single"/>
        </w:rPr>
      </w:pPr>
      <w:r w:rsidRPr="005D5075">
        <w:rPr>
          <w:rFonts w:ascii="Sto TT" w:eastAsia="Verdana" w:hAnsi="Sto TT" w:cs="Arial"/>
          <w:b/>
          <w:bCs/>
          <w:sz w:val="18"/>
          <w:szCs w:val="18"/>
          <w:u w:val="single"/>
        </w:rPr>
        <w:t>Isolation des parties enterrées</w:t>
      </w:r>
    </w:p>
    <w:p w14:paraId="7857C826"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L’isolation des parties semi-enterrées doit être réalisée conformément aux prescriptions du </w:t>
      </w:r>
      <w:r w:rsidRPr="005D5075">
        <w:rPr>
          <w:rFonts w:ascii="Sto TT" w:eastAsia="Verdana" w:hAnsi="Sto TT" w:cs="Arial"/>
          <w:b/>
          <w:bCs/>
          <w:sz w:val="18"/>
          <w:szCs w:val="18"/>
        </w:rPr>
        <w:t>Cahier de Prescription Technique CPT 3842 – Juin 2025</w:t>
      </w:r>
      <w:r w:rsidRPr="005D5075">
        <w:rPr>
          <w:rFonts w:ascii="Sto TT" w:eastAsia="Verdana" w:hAnsi="Sto TT" w:cs="Arial"/>
          <w:sz w:val="18"/>
          <w:szCs w:val="18"/>
        </w:rPr>
        <w:t>, publié par le CSTB. Ce document définit les exigences minimales applicables aux panneaux isolants en polystyrène expansé (PSE) utilisés dans les systèmes ETICS en zones enterrées ou semi-enterrées.</w:t>
      </w:r>
    </w:p>
    <w:p w14:paraId="5AA64985" w14:textId="77777777" w:rsidR="00316157" w:rsidRPr="005D5075" w:rsidRDefault="00316157" w:rsidP="00316157">
      <w:pPr>
        <w:ind w:left="-709" w:right="1"/>
        <w:jc w:val="both"/>
        <w:rPr>
          <w:rFonts w:ascii="Sto TT" w:eastAsia="Verdana" w:hAnsi="Sto TT" w:cs="Arial"/>
          <w:sz w:val="18"/>
          <w:szCs w:val="18"/>
        </w:rPr>
      </w:pPr>
    </w:p>
    <w:p w14:paraId="385F6CED"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 xml:space="preserve">Avant la </w:t>
      </w:r>
      <w:proofErr w:type="spellStart"/>
      <w:r w:rsidRPr="005D5075">
        <w:rPr>
          <w:rFonts w:ascii="Sto TT" w:eastAsia="Verdana" w:hAnsi="Sto TT" w:cs="Arial"/>
          <w:sz w:val="18"/>
          <w:szCs w:val="18"/>
        </w:rPr>
        <w:t>pose</w:t>
      </w:r>
      <w:proofErr w:type="spellEnd"/>
      <w:r w:rsidRPr="005D5075">
        <w:rPr>
          <w:rFonts w:ascii="Sto TT" w:eastAsia="Verdana" w:hAnsi="Sto TT"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14:paraId="3FE2925F"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 xml:space="preserve">Le Produit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w:t>
      </w:r>
      <w:r w:rsidRPr="005D5075">
        <w:rPr>
          <w:rFonts w:ascii="Sto TT" w:eastAsia="Verdana" w:hAnsi="Sto TT" w:cs="Arial"/>
          <w:sz w:val="18"/>
          <w:szCs w:val="18"/>
        </w:rPr>
        <w:t xml:space="preserve"> Plus est utilisé à la fois en collage et marouflage des panneaux de polystyrène en partie semi enterrée, à la fois en partie courante et sous les panneaux isolants par « chaussette ». Il est également possible d’utiliser les </w:t>
      </w:r>
      <w:proofErr w:type="spellStart"/>
      <w:r w:rsidRPr="005D5075">
        <w:rPr>
          <w:rFonts w:ascii="Sto TT" w:eastAsia="Verdana" w:hAnsi="Sto TT" w:cs="Arial"/>
          <w:b/>
          <w:bCs/>
          <w:sz w:val="18"/>
          <w:szCs w:val="18"/>
        </w:rPr>
        <w:t>StoFlexyl</w:t>
      </w:r>
      <w:proofErr w:type="spellEnd"/>
      <w:r w:rsidRPr="005D5075">
        <w:rPr>
          <w:rFonts w:ascii="Sto TT" w:eastAsia="Verdana" w:hAnsi="Sto TT" w:cs="Arial"/>
          <w:b/>
          <w:bCs/>
          <w:sz w:val="18"/>
          <w:szCs w:val="18"/>
        </w:rPr>
        <w:t xml:space="preserve"> + </w:t>
      </w:r>
      <w:proofErr w:type="spellStart"/>
      <w:r w:rsidRPr="005D5075">
        <w:rPr>
          <w:rFonts w:ascii="Sto TT" w:eastAsia="Verdana" w:hAnsi="Sto TT" w:cs="Arial"/>
          <w:b/>
          <w:bCs/>
          <w:sz w:val="18"/>
          <w:szCs w:val="18"/>
        </w:rPr>
        <w:t>StoFlexyl</w:t>
      </w:r>
      <w:proofErr w:type="spellEnd"/>
      <w:r w:rsidRPr="005D5075">
        <w:rPr>
          <w:rFonts w:ascii="Sto TT" w:eastAsia="Verdana" w:hAnsi="Sto TT" w:cs="Arial"/>
          <w:b/>
          <w:bCs/>
          <w:sz w:val="18"/>
          <w:szCs w:val="18"/>
        </w:rPr>
        <w:t xml:space="preserve"> Cement </w:t>
      </w:r>
      <w:r w:rsidRPr="005D5075">
        <w:rPr>
          <w:rFonts w:ascii="Sto TT" w:eastAsia="Verdana" w:hAnsi="Sto TT" w:cs="Arial"/>
          <w:sz w:val="18"/>
          <w:szCs w:val="18"/>
        </w:rPr>
        <w:t xml:space="preserve">à la place du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 Plus</w:t>
      </w:r>
    </w:p>
    <w:p w14:paraId="72160AEB" w14:textId="77777777" w:rsidR="00316157" w:rsidRPr="005D5075" w:rsidRDefault="00316157" w:rsidP="00316157">
      <w:pPr>
        <w:ind w:left="-709" w:right="1"/>
        <w:jc w:val="both"/>
        <w:rPr>
          <w:rFonts w:ascii="Sto TT" w:eastAsia="Verdana" w:hAnsi="Sto TT" w:cs="Arial"/>
          <w:sz w:val="18"/>
          <w:szCs w:val="18"/>
        </w:rPr>
      </w:pPr>
    </w:p>
    <w:p w14:paraId="52ADD35B"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Sur un support plan, sec, propre et porteur, on applique une couche préliminaire de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 Plus</w:t>
      </w:r>
      <w:r w:rsidRPr="005D5075">
        <w:rPr>
          <w:rFonts w:ascii="Sto TT" w:eastAsia="Verdana" w:hAnsi="Sto TT" w:cs="Arial"/>
          <w:sz w:val="18"/>
          <w:szCs w:val="18"/>
        </w:rPr>
        <w:t xml:space="preserve"> sur une hauteur de 1,20 m (dont 1 m en partie enterrée et 20 cm au-dessus du sol), à l’aide d’une taloche inox, à raison de 1 kg/m² environ. </w:t>
      </w:r>
    </w:p>
    <w:p w14:paraId="719218CE" w14:textId="77777777" w:rsidR="00316157" w:rsidRPr="005D5075" w:rsidRDefault="00316157" w:rsidP="00316157">
      <w:pPr>
        <w:ind w:left="-709" w:right="1"/>
        <w:jc w:val="both"/>
        <w:rPr>
          <w:rFonts w:ascii="Sto TT" w:eastAsia="Verdana" w:hAnsi="Sto TT" w:cs="Arial"/>
          <w:sz w:val="18"/>
          <w:szCs w:val="18"/>
        </w:rPr>
      </w:pPr>
    </w:p>
    <w:p w14:paraId="0CCE935F"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Sur cette couche d’impression, une bande de </w:t>
      </w:r>
      <w:proofErr w:type="spellStart"/>
      <w:r w:rsidRPr="005D5075">
        <w:rPr>
          <w:rFonts w:ascii="Sto TT" w:eastAsia="Verdana" w:hAnsi="Sto TT" w:cs="Arial"/>
          <w:b/>
          <w:bCs/>
          <w:sz w:val="18"/>
          <w:szCs w:val="18"/>
        </w:rPr>
        <w:t>StoFibre</w:t>
      </w:r>
      <w:proofErr w:type="spellEnd"/>
      <w:r w:rsidRPr="005D5075">
        <w:rPr>
          <w:rFonts w:ascii="Sto TT" w:eastAsia="Verdana" w:hAnsi="Sto TT" w:cs="Arial"/>
          <w:b/>
          <w:bCs/>
          <w:sz w:val="18"/>
          <w:szCs w:val="18"/>
        </w:rPr>
        <w:t xml:space="preserve"> de Verre Standard</w:t>
      </w:r>
      <w:r w:rsidRPr="005D5075">
        <w:rPr>
          <w:rFonts w:ascii="Sto TT" w:eastAsia="Verdana" w:hAnsi="Sto TT" w:cs="Arial"/>
          <w:sz w:val="18"/>
          <w:szCs w:val="18"/>
        </w:rPr>
        <w:t> est collée sur 20 cm à partir du point le plus bas de l’isolant enterré, en la laissant en attente pour un retour sur la face extérieure du panneau isolant (</w:t>
      </w:r>
      <w:r w:rsidRPr="005D5075">
        <w:rPr>
          <w:rFonts w:ascii="Sto TT" w:eastAsia="Verdana" w:hAnsi="Sto TT" w:cs="Arial"/>
          <w:b/>
          <w:bCs/>
          <w:sz w:val="18"/>
          <w:szCs w:val="18"/>
        </w:rPr>
        <w:t>Sto-Panneau Isolant Top 31</w:t>
      </w:r>
      <w:r w:rsidRPr="005D5075">
        <w:rPr>
          <w:rFonts w:ascii="Sto TT" w:eastAsia="Verdana" w:hAnsi="Sto TT" w:cs="Arial"/>
          <w:sz w:val="18"/>
          <w:szCs w:val="18"/>
        </w:rPr>
        <w:t xml:space="preserve"> </w:t>
      </w:r>
      <w:r w:rsidRPr="005D5075">
        <w:rPr>
          <w:rFonts w:ascii="Sto TT" w:eastAsia="Verdana" w:hAnsi="Sto TT" w:cs="Arial"/>
          <w:b/>
          <w:bCs/>
          <w:sz w:val="18"/>
          <w:szCs w:val="18"/>
        </w:rPr>
        <w:t>Sto-Panneau Isolant Top 31</w:t>
      </w:r>
      <w:r w:rsidRPr="005D5075">
        <w:rPr>
          <w:rFonts w:ascii="Sto TT" w:eastAsia="Verdana" w:hAnsi="Sto TT" w:cs="Arial"/>
          <w:sz w:val="18"/>
          <w:szCs w:val="18"/>
        </w:rPr>
        <w:t> </w:t>
      </w:r>
      <w:proofErr w:type="spellStart"/>
      <w:r w:rsidRPr="005D5075">
        <w:rPr>
          <w:rFonts w:ascii="Sto TT" w:eastAsia="Verdana" w:hAnsi="Sto TT" w:cs="Arial"/>
          <w:b/>
          <w:bCs/>
          <w:sz w:val="18"/>
          <w:szCs w:val="18"/>
        </w:rPr>
        <w:t>Biomass</w:t>
      </w:r>
      <w:proofErr w:type="spellEnd"/>
      <w:r w:rsidRPr="005D5075">
        <w:rPr>
          <w:rFonts w:ascii="Sto TT" w:eastAsia="Verdana" w:hAnsi="Sto TT" w:cs="Arial"/>
          <w:sz w:val="18"/>
          <w:szCs w:val="18"/>
        </w:rPr>
        <w:t> ou </w:t>
      </w:r>
      <w:r w:rsidRPr="005D5075">
        <w:rPr>
          <w:rFonts w:ascii="Sto TT" w:eastAsia="Verdana" w:hAnsi="Sto TT" w:cs="Arial"/>
          <w:b/>
          <w:bCs/>
          <w:sz w:val="18"/>
          <w:szCs w:val="18"/>
        </w:rPr>
        <w:t>Sto-Panneau Polystyrène PS 15 SE</w:t>
      </w:r>
      <w:r w:rsidRPr="005D5075">
        <w:rPr>
          <w:rFonts w:ascii="Sto TT" w:eastAsia="Verdana" w:hAnsi="Sto TT" w:cs="Arial"/>
          <w:sz w:val="18"/>
          <w:szCs w:val="18"/>
        </w:rPr>
        <w:t>).</w:t>
      </w:r>
    </w:p>
    <w:p w14:paraId="6BF852CA" w14:textId="77777777" w:rsidR="00316157" w:rsidRPr="005D5075" w:rsidRDefault="00316157" w:rsidP="00316157">
      <w:pPr>
        <w:ind w:left="-709" w:right="1"/>
        <w:jc w:val="both"/>
        <w:rPr>
          <w:rFonts w:ascii="Sto TT" w:eastAsia="Verdana" w:hAnsi="Sto TT" w:cs="Arial"/>
          <w:sz w:val="18"/>
          <w:szCs w:val="18"/>
        </w:rPr>
      </w:pPr>
    </w:p>
    <w:p w14:paraId="308D00D3"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Une fois la première couche sèche, une seconde couche de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 Plus</w:t>
      </w:r>
      <w:r w:rsidRPr="005D5075">
        <w:rPr>
          <w:rFonts w:ascii="Sto TT" w:eastAsia="Verdana" w:hAnsi="Sto TT" w:cs="Arial"/>
          <w:sz w:val="18"/>
          <w:szCs w:val="18"/>
        </w:rPr>
        <w:t> est appliquée à la taloche, à raison de 2,5 kg/m², en rendant la surface rugueuse. Les panneaux isolants, d’une épaisseur comprise entre 20 et 300 mm, sont découpés à 45° à l’aide de la machine </w:t>
      </w:r>
      <w:r w:rsidRPr="005D5075">
        <w:rPr>
          <w:rFonts w:ascii="Sto TT" w:eastAsia="Verdana" w:hAnsi="Sto TT" w:cs="Arial"/>
          <w:b/>
          <w:bCs/>
          <w:sz w:val="18"/>
          <w:szCs w:val="18"/>
        </w:rPr>
        <w:t>Sto-Fil Chaud</w:t>
      </w:r>
      <w:r w:rsidRPr="005D5075">
        <w:rPr>
          <w:rFonts w:ascii="Sto TT" w:eastAsia="Verdana" w:hAnsi="Sto TT" w:cs="Arial"/>
          <w:sz w:val="18"/>
          <w:szCs w:val="18"/>
        </w:rPr>
        <w:t>, puis encollés en plein avec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 Plus</w:t>
      </w:r>
      <w:r w:rsidRPr="005D5075">
        <w:rPr>
          <w:rFonts w:ascii="Sto TT" w:eastAsia="Verdana" w:hAnsi="Sto TT" w:cs="Arial"/>
          <w:sz w:val="18"/>
          <w:szCs w:val="18"/>
        </w:rPr>
        <w:t> (4 kg/m²) avant d’être pressés sur le support, avec des joints parfaitement serrés.</w:t>
      </w:r>
    </w:p>
    <w:p w14:paraId="2C6578CB" w14:textId="77777777" w:rsidR="00316157" w:rsidRPr="005D5075" w:rsidRDefault="00316157" w:rsidP="00316157">
      <w:pPr>
        <w:ind w:left="-709" w:right="1"/>
        <w:jc w:val="both"/>
        <w:rPr>
          <w:rFonts w:ascii="Sto TT" w:eastAsia="Verdana" w:hAnsi="Sto TT" w:cs="Arial"/>
          <w:sz w:val="18"/>
          <w:szCs w:val="18"/>
        </w:rPr>
      </w:pPr>
    </w:p>
    <w:p w14:paraId="4BD7CAED"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La fibre de verre laissée en attente est ensuite repliée sur la face extérieure du polystyrène et marouflée dans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 Plus</w:t>
      </w:r>
      <w:r w:rsidRPr="005D5075">
        <w:rPr>
          <w:rFonts w:ascii="Sto TT" w:eastAsia="Verdana" w:hAnsi="Sto TT" w:cs="Arial"/>
          <w:sz w:val="18"/>
          <w:szCs w:val="18"/>
        </w:rPr>
        <w:t>. Une </w:t>
      </w:r>
      <w:r w:rsidRPr="005D5075">
        <w:rPr>
          <w:rFonts w:ascii="Sto TT" w:eastAsia="Verdana" w:hAnsi="Sto TT" w:cs="Arial"/>
          <w:b/>
          <w:bCs/>
          <w:sz w:val="18"/>
          <w:szCs w:val="18"/>
        </w:rPr>
        <w:t>protection mécanique</w:t>
      </w:r>
      <w:r w:rsidRPr="005D5075">
        <w:rPr>
          <w:rFonts w:ascii="Sto TT" w:eastAsia="Verdana" w:hAnsi="Sto TT" w:cs="Arial"/>
          <w:sz w:val="18"/>
          <w:szCs w:val="18"/>
        </w:rPr>
        <w:t> est obligatoire pour sécuriser la partie enterrée.</w:t>
      </w:r>
    </w:p>
    <w:p w14:paraId="3090D55E" w14:textId="77777777" w:rsidR="00316157" w:rsidRPr="005D5075" w:rsidRDefault="00316157" w:rsidP="00316157">
      <w:pPr>
        <w:ind w:left="-709" w:right="1"/>
        <w:jc w:val="both"/>
        <w:rPr>
          <w:rFonts w:ascii="Sto TT" w:eastAsia="Verdana" w:hAnsi="Sto TT" w:cs="Arial"/>
          <w:sz w:val="18"/>
          <w:szCs w:val="18"/>
        </w:rPr>
      </w:pPr>
    </w:p>
    <w:p w14:paraId="3F5646DF"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 xml:space="preserve">Pour le socle de départ, situé en démarrage de l’ossature du </w:t>
      </w:r>
      <w:proofErr w:type="spellStart"/>
      <w:r w:rsidRPr="005D5075">
        <w:rPr>
          <w:rFonts w:ascii="Sto TT" w:eastAsia="Verdana" w:hAnsi="Sto TT" w:cs="Arial"/>
          <w:sz w:val="18"/>
          <w:szCs w:val="18"/>
        </w:rPr>
        <w:t>StoVentec</w:t>
      </w:r>
      <w:proofErr w:type="spellEnd"/>
      <w:r w:rsidRPr="005D5075">
        <w:rPr>
          <w:rFonts w:ascii="Sto TT" w:eastAsia="Verdana" w:hAnsi="Sto TT" w:cs="Arial"/>
          <w:sz w:val="18"/>
          <w:szCs w:val="18"/>
        </w:rPr>
        <w:t xml:space="preserve"> à 5 ou 15 cm au-dessus du sol, on maroufle </w:t>
      </w:r>
      <w:proofErr w:type="spellStart"/>
      <w:r w:rsidRPr="005D5075">
        <w:rPr>
          <w:rFonts w:ascii="Sto TT" w:eastAsia="Verdana" w:hAnsi="Sto TT" w:cs="Arial"/>
          <w:b/>
          <w:bCs/>
          <w:sz w:val="18"/>
          <w:szCs w:val="18"/>
        </w:rPr>
        <w:t>StoLevell</w:t>
      </w:r>
      <w:proofErr w:type="spellEnd"/>
      <w:r w:rsidRPr="005D5075">
        <w:rPr>
          <w:rFonts w:ascii="Sto TT" w:eastAsia="Verdana" w:hAnsi="Sto TT" w:cs="Arial"/>
          <w:b/>
          <w:bCs/>
          <w:sz w:val="18"/>
          <w:szCs w:val="18"/>
        </w:rPr>
        <w:t xml:space="preserve"> SW Plus</w:t>
      </w:r>
      <w:r w:rsidRPr="005D5075">
        <w:rPr>
          <w:rFonts w:ascii="Sto TT" w:eastAsia="Verdana" w:hAnsi="Sto TT" w:cs="Arial"/>
          <w:sz w:val="18"/>
          <w:szCs w:val="18"/>
        </w:rPr>
        <w:t> jusqu’au </w:t>
      </w:r>
      <w:r w:rsidRPr="005D5075">
        <w:rPr>
          <w:rFonts w:ascii="Sto TT" w:eastAsia="Verdana" w:hAnsi="Sto TT" w:cs="Arial"/>
          <w:b/>
          <w:bCs/>
          <w:sz w:val="18"/>
          <w:szCs w:val="18"/>
        </w:rPr>
        <w:t>Sto-Profil de départ S12</w:t>
      </w:r>
      <w:r w:rsidRPr="005D5075">
        <w:rPr>
          <w:rFonts w:ascii="Sto TT" w:eastAsia="Verdana" w:hAnsi="Sto TT" w:cs="Arial"/>
          <w:sz w:val="18"/>
          <w:szCs w:val="18"/>
        </w:rPr>
        <w:t xml:space="preserve"> puis on positionne </w:t>
      </w:r>
      <w:r w:rsidRPr="005D5075">
        <w:rPr>
          <w:rFonts w:ascii="Sto TT" w:eastAsia="Verdana" w:hAnsi="Sto TT" w:cs="Arial"/>
          <w:b/>
          <w:bCs/>
          <w:sz w:val="18"/>
          <w:szCs w:val="18"/>
        </w:rPr>
        <w:t>Sto-</w:t>
      </w:r>
      <w:proofErr w:type="spellStart"/>
      <w:r w:rsidRPr="005D5075">
        <w:rPr>
          <w:rFonts w:ascii="Sto TT" w:eastAsia="Verdana" w:hAnsi="Sto TT" w:cs="Arial"/>
          <w:b/>
          <w:bCs/>
          <w:sz w:val="18"/>
          <w:szCs w:val="18"/>
        </w:rPr>
        <w:t>Compribande</w:t>
      </w:r>
      <w:proofErr w:type="spellEnd"/>
      <w:r w:rsidRPr="005D5075">
        <w:rPr>
          <w:rFonts w:ascii="Sto TT" w:eastAsia="Verdana" w:hAnsi="Sto TT" w:cs="Arial"/>
          <w:sz w:val="18"/>
          <w:szCs w:val="18"/>
        </w:rPr>
        <w:t> en raccordement sous le profil.</w:t>
      </w:r>
    </w:p>
    <w:p w14:paraId="6BE9BD0A" w14:textId="77777777" w:rsidR="00316157" w:rsidRPr="005D5075" w:rsidRDefault="00316157" w:rsidP="00316157">
      <w:pPr>
        <w:ind w:left="-709" w:right="1"/>
        <w:jc w:val="both"/>
        <w:rPr>
          <w:rFonts w:ascii="Sto TT" w:eastAsia="Verdana" w:hAnsi="Sto TT" w:cs="Arial"/>
          <w:sz w:val="18"/>
          <w:szCs w:val="18"/>
        </w:rPr>
      </w:pPr>
    </w:p>
    <w:p w14:paraId="01061548" w14:textId="77777777" w:rsidR="00316157" w:rsidRPr="005D5075" w:rsidRDefault="00316157" w:rsidP="00316157">
      <w:pPr>
        <w:ind w:left="-709" w:right="1"/>
        <w:jc w:val="both"/>
        <w:rPr>
          <w:rFonts w:ascii="Sto TT" w:eastAsia="Verdana" w:hAnsi="Sto TT" w:cs="Arial"/>
          <w:sz w:val="18"/>
          <w:szCs w:val="18"/>
        </w:rPr>
      </w:pPr>
      <w:r w:rsidRPr="005D5075">
        <w:rPr>
          <w:rFonts w:ascii="Sto TT" w:eastAsia="Verdana" w:hAnsi="Sto TT" w:cs="Arial"/>
          <w:sz w:val="18"/>
          <w:szCs w:val="18"/>
        </w:rPr>
        <w:t>Enfin, un </w:t>
      </w:r>
      <w:r w:rsidRPr="005D5075">
        <w:rPr>
          <w:rFonts w:ascii="Sto TT" w:eastAsia="Verdana" w:hAnsi="Sto TT" w:cs="Arial"/>
          <w:b/>
          <w:bCs/>
          <w:sz w:val="18"/>
          <w:szCs w:val="18"/>
        </w:rPr>
        <w:t>film à picots</w:t>
      </w:r>
      <w:r w:rsidRPr="005D5075">
        <w:rPr>
          <w:rFonts w:ascii="Sto TT" w:eastAsia="Verdana" w:hAnsi="Sto TT" w:cs="Arial"/>
          <w:sz w:val="18"/>
          <w:szCs w:val="18"/>
        </w:rPr>
        <w:t> est prévu comme protection mécanique de la partie enterrée. Pour assurer l’esthétique du soubassement, il est possible d’appliquer un revêtement de finition mince tel que </w:t>
      </w:r>
      <w:r w:rsidRPr="005D5075">
        <w:rPr>
          <w:rFonts w:ascii="Sto TT" w:eastAsia="Verdana" w:hAnsi="Sto TT" w:cs="Arial"/>
          <w:b/>
          <w:bCs/>
          <w:sz w:val="18"/>
          <w:szCs w:val="18"/>
        </w:rPr>
        <w:t xml:space="preserve">StoColor </w:t>
      </w:r>
      <w:proofErr w:type="spellStart"/>
      <w:r w:rsidRPr="005D5075">
        <w:rPr>
          <w:rFonts w:ascii="Sto TT" w:eastAsia="Verdana" w:hAnsi="Sto TT" w:cs="Arial"/>
          <w:b/>
          <w:bCs/>
          <w:sz w:val="18"/>
          <w:szCs w:val="18"/>
        </w:rPr>
        <w:t>Silco</w:t>
      </w:r>
      <w:proofErr w:type="spellEnd"/>
      <w:r w:rsidRPr="005D5075">
        <w:rPr>
          <w:rFonts w:ascii="Sto TT" w:eastAsia="Verdana" w:hAnsi="Sto TT" w:cs="Arial"/>
          <w:sz w:val="18"/>
          <w:szCs w:val="18"/>
        </w:rPr>
        <w:t>, </w:t>
      </w:r>
      <w:proofErr w:type="spellStart"/>
      <w:r w:rsidRPr="005D5075">
        <w:rPr>
          <w:rFonts w:ascii="Sto TT" w:eastAsia="Verdana" w:hAnsi="Sto TT" w:cs="Arial"/>
          <w:b/>
          <w:bCs/>
          <w:sz w:val="18"/>
          <w:szCs w:val="18"/>
        </w:rPr>
        <w:t>Silco</w:t>
      </w:r>
      <w:proofErr w:type="spellEnd"/>
      <w:r w:rsidRPr="005D5075">
        <w:rPr>
          <w:rFonts w:ascii="Sto TT" w:eastAsia="Verdana" w:hAnsi="Sto TT" w:cs="Arial"/>
          <w:b/>
          <w:bCs/>
          <w:sz w:val="18"/>
          <w:szCs w:val="18"/>
        </w:rPr>
        <w:t xml:space="preserve"> G</w:t>
      </w:r>
      <w:r w:rsidRPr="005D5075">
        <w:rPr>
          <w:rFonts w:ascii="Sto TT" w:eastAsia="Verdana" w:hAnsi="Sto TT" w:cs="Arial"/>
          <w:sz w:val="18"/>
          <w:szCs w:val="18"/>
        </w:rPr>
        <w:t>, </w:t>
      </w:r>
      <w:proofErr w:type="spellStart"/>
      <w:r w:rsidRPr="005D5075">
        <w:rPr>
          <w:rFonts w:ascii="Sto TT" w:eastAsia="Verdana" w:hAnsi="Sto TT" w:cs="Arial"/>
          <w:b/>
          <w:bCs/>
          <w:sz w:val="18"/>
          <w:szCs w:val="18"/>
        </w:rPr>
        <w:t>Jumbosil</w:t>
      </w:r>
      <w:proofErr w:type="spellEnd"/>
      <w:r w:rsidRPr="005D5075">
        <w:rPr>
          <w:rFonts w:ascii="Sto TT" w:eastAsia="Verdana" w:hAnsi="Sto TT" w:cs="Arial"/>
          <w:sz w:val="18"/>
          <w:szCs w:val="18"/>
        </w:rPr>
        <w:t>, </w:t>
      </w:r>
      <w:proofErr w:type="spellStart"/>
      <w:r w:rsidRPr="005D5075">
        <w:rPr>
          <w:rFonts w:ascii="Sto TT" w:eastAsia="Verdana" w:hAnsi="Sto TT" w:cs="Arial"/>
          <w:b/>
          <w:bCs/>
          <w:sz w:val="18"/>
          <w:szCs w:val="18"/>
        </w:rPr>
        <w:t>Lotusan</w:t>
      </w:r>
      <w:proofErr w:type="spellEnd"/>
      <w:r w:rsidRPr="005D5075">
        <w:rPr>
          <w:rFonts w:ascii="Sto TT" w:eastAsia="Verdana" w:hAnsi="Sto TT" w:cs="Arial"/>
          <w:sz w:val="18"/>
          <w:szCs w:val="18"/>
        </w:rPr>
        <w:t> ou </w:t>
      </w:r>
      <w:proofErr w:type="spellStart"/>
      <w:r w:rsidRPr="005D5075">
        <w:rPr>
          <w:rFonts w:ascii="Sto TT" w:eastAsia="Verdana" w:hAnsi="Sto TT" w:cs="Arial"/>
          <w:b/>
          <w:bCs/>
          <w:sz w:val="18"/>
          <w:szCs w:val="18"/>
        </w:rPr>
        <w:t>Lotusan</w:t>
      </w:r>
      <w:proofErr w:type="spellEnd"/>
      <w:r w:rsidRPr="005D5075">
        <w:rPr>
          <w:rFonts w:ascii="Sto TT" w:eastAsia="Verdana" w:hAnsi="Sto TT" w:cs="Arial"/>
          <w:b/>
          <w:bCs/>
          <w:sz w:val="18"/>
          <w:szCs w:val="18"/>
        </w:rPr>
        <w:t xml:space="preserve"> G</w:t>
      </w:r>
      <w:r w:rsidRPr="005D5075">
        <w:rPr>
          <w:rFonts w:ascii="Sto TT" w:eastAsia="Verdana" w:hAnsi="Sto TT" w:cs="Arial"/>
          <w:sz w:val="18"/>
          <w:szCs w:val="18"/>
        </w:rPr>
        <w:t>.</w:t>
      </w:r>
    </w:p>
    <w:p w14:paraId="616B2D51" w14:textId="77777777" w:rsidR="00316157" w:rsidRPr="005D5075" w:rsidRDefault="00316157" w:rsidP="00316157">
      <w:pPr>
        <w:ind w:right="1"/>
        <w:jc w:val="both"/>
        <w:rPr>
          <w:rFonts w:ascii="Sto TT" w:eastAsia="Verdana" w:hAnsi="Sto TT" w:cs="Arial"/>
          <w:b/>
          <w:bCs/>
          <w:sz w:val="18"/>
          <w:szCs w:val="18"/>
          <w:u w:val="single"/>
        </w:rPr>
      </w:pPr>
    </w:p>
    <w:p w14:paraId="67B6652D" w14:textId="77777777" w:rsidR="00316157" w:rsidRPr="005D5075" w:rsidRDefault="00316157" w:rsidP="00316157">
      <w:pPr>
        <w:rPr>
          <w:rFonts w:ascii="Sto TT" w:eastAsia="Verdana" w:hAnsi="Sto TT" w:cs="Arial"/>
          <w:b/>
          <w:bCs/>
          <w:sz w:val="18"/>
          <w:szCs w:val="18"/>
          <w:u w:val="single"/>
        </w:rPr>
      </w:pPr>
      <w:r w:rsidRPr="005D5075">
        <w:rPr>
          <w:rFonts w:ascii="Sto TT" w:eastAsia="Verdana" w:hAnsi="Sto TT" w:cs="Arial"/>
          <w:b/>
          <w:bCs/>
          <w:sz w:val="18"/>
          <w:szCs w:val="18"/>
          <w:u w:val="single"/>
        </w:rPr>
        <w:br w:type="page"/>
      </w:r>
    </w:p>
    <w:p w14:paraId="5B54521A" w14:textId="77777777" w:rsidR="00316157" w:rsidRPr="005D5075" w:rsidRDefault="00316157" w:rsidP="00316157">
      <w:pPr>
        <w:ind w:left="-709" w:right="1"/>
        <w:jc w:val="center"/>
        <w:rPr>
          <w:rFonts w:ascii="Sto TT" w:eastAsia="Verdana" w:hAnsi="Sto TT" w:cs="Arial"/>
          <w:b/>
          <w:bCs/>
          <w:sz w:val="18"/>
          <w:szCs w:val="18"/>
          <w:u w:val="single"/>
        </w:rPr>
      </w:pPr>
      <w:r w:rsidRPr="005D5075">
        <w:rPr>
          <w:rFonts w:ascii="Sto TT" w:eastAsia="Verdana" w:hAnsi="Sto TT" w:cs="Arial"/>
          <w:b/>
          <w:bCs/>
          <w:sz w:val="18"/>
          <w:szCs w:val="18"/>
          <w:u w:val="single"/>
        </w:rPr>
        <w:lastRenderedPageBreak/>
        <w:t>Schéma traitement des parties enterrée</w:t>
      </w:r>
    </w:p>
    <w:p w14:paraId="4CDE98B8" w14:textId="77777777" w:rsidR="00316157" w:rsidRPr="005D5075" w:rsidRDefault="00316157" w:rsidP="00316157">
      <w:pPr>
        <w:ind w:left="-709" w:right="1"/>
        <w:jc w:val="center"/>
        <w:rPr>
          <w:rFonts w:ascii="Sto TT" w:eastAsia="Verdana" w:hAnsi="Sto TT" w:cs="Arial"/>
          <w:b/>
          <w:bCs/>
          <w:sz w:val="18"/>
          <w:szCs w:val="18"/>
          <w:u w:val="single"/>
        </w:rPr>
      </w:pPr>
    </w:p>
    <w:p w14:paraId="1295AC8E" w14:textId="77777777" w:rsidR="00316157" w:rsidRPr="005D5075" w:rsidRDefault="00316157" w:rsidP="00316157">
      <w:pPr>
        <w:ind w:left="-709" w:right="1"/>
        <w:jc w:val="center"/>
        <w:rPr>
          <w:rFonts w:ascii="Sto TT" w:eastAsia="Verdana" w:hAnsi="Sto TT" w:cs="Arial"/>
          <w:sz w:val="18"/>
          <w:szCs w:val="18"/>
        </w:rPr>
      </w:pPr>
      <w:r w:rsidRPr="005D5075">
        <w:rPr>
          <w:rFonts w:ascii="Sto TT" w:eastAsia="Verdana" w:hAnsi="Sto TT" w:cs="Arial"/>
          <w:noProof/>
          <w:sz w:val="18"/>
          <w:szCs w:val="18"/>
        </w:rPr>
        <w:drawing>
          <wp:inline distT="0" distB="0" distL="0" distR="0" wp14:anchorId="47C7BF21" wp14:editId="54FC3A11">
            <wp:extent cx="3138055" cy="3782478"/>
            <wp:effectExtent l="0" t="0" r="5715" b="889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28"/>
                    <a:stretch>
                      <a:fillRect/>
                    </a:stretch>
                  </pic:blipFill>
                  <pic:spPr>
                    <a:xfrm>
                      <a:off x="0" y="0"/>
                      <a:ext cx="3197837" cy="3854537"/>
                    </a:xfrm>
                    <a:prstGeom prst="rect">
                      <a:avLst/>
                    </a:prstGeom>
                  </pic:spPr>
                </pic:pic>
              </a:graphicData>
            </a:graphic>
          </wp:inline>
        </w:drawing>
      </w:r>
    </w:p>
    <w:p w14:paraId="130971AB" w14:textId="77777777" w:rsidR="00316157" w:rsidRPr="005D5075" w:rsidRDefault="00316157" w:rsidP="00316157">
      <w:pPr>
        <w:ind w:left="-709" w:right="1"/>
        <w:jc w:val="center"/>
        <w:rPr>
          <w:rFonts w:ascii="Sto TT" w:eastAsia="Verdana" w:hAnsi="Sto TT" w:cs="Arial"/>
          <w:sz w:val="18"/>
          <w:szCs w:val="18"/>
        </w:rPr>
      </w:pPr>
    </w:p>
    <w:p w14:paraId="6C5A7BCB" w14:textId="77777777" w:rsidR="00316157" w:rsidRPr="005D5075" w:rsidRDefault="00316157" w:rsidP="00316157">
      <w:pPr>
        <w:ind w:left="-709" w:right="1"/>
        <w:jc w:val="center"/>
        <w:rPr>
          <w:rFonts w:ascii="Sto TT" w:eastAsia="Verdana" w:hAnsi="Sto TT" w:cs="Arial"/>
          <w:sz w:val="18"/>
          <w:szCs w:val="18"/>
        </w:rPr>
      </w:pPr>
    </w:p>
    <w:p w14:paraId="664C104E" w14:textId="77777777" w:rsidR="00316157" w:rsidRPr="005D5075" w:rsidRDefault="00316157" w:rsidP="00316157">
      <w:pPr>
        <w:ind w:left="-709"/>
        <w:jc w:val="both"/>
        <w:rPr>
          <w:rFonts w:ascii="Sto TT" w:eastAsia="Verdana" w:hAnsi="Sto TT" w:cs="Arial"/>
          <w:sz w:val="18"/>
          <w:szCs w:val="18"/>
        </w:rPr>
      </w:pPr>
      <w:r w:rsidRPr="005D5075">
        <w:rPr>
          <w:rFonts w:ascii="Sto TT" w:eastAsia="Verdana" w:hAnsi="Sto TT" w:cs="Arial"/>
          <w:sz w:val="18"/>
          <w:szCs w:val="18"/>
        </w:rPr>
        <w:t xml:space="preserve"> </w:t>
      </w:r>
    </w:p>
    <w:p w14:paraId="0F1A8064" w14:textId="77777777" w:rsidR="00316157" w:rsidRPr="005D5075" w:rsidRDefault="00316157" w:rsidP="00316157">
      <w:pPr>
        <w:ind w:left="-709" w:right="1" w:firstLine="283"/>
        <w:jc w:val="center"/>
        <w:rPr>
          <w:rFonts w:ascii="Sto TT" w:hAnsi="Sto TT" w:cs="Arial"/>
          <w:b/>
          <w:color w:val="FFFFFF"/>
          <w:sz w:val="22"/>
          <w:szCs w:val="22"/>
        </w:rPr>
      </w:pPr>
      <w:r w:rsidRPr="005D5075">
        <w:rPr>
          <w:rFonts w:ascii="Sto TT" w:hAnsi="Sto TT" w:cs="Arial"/>
          <w:noProof/>
          <w:sz w:val="20"/>
          <w:szCs w:val="20"/>
        </w:rPr>
        <mc:AlternateContent>
          <mc:Choice Requires="wps">
            <w:drawing>
              <wp:anchor distT="0" distB="0" distL="114300" distR="114300" simplePos="0" relativeHeight="251660288" behindDoc="1" locked="0" layoutInCell="1" allowOverlap="1" wp14:anchorId="6B4C7949" wp14:editId="6FD5E0ED">
                <wp:simplePos x="0" y="0"/>
                <wp:positionH relativeFrom="column">
                  <wp:posOffset>-115570</wp:posOffset>
                </wp:positionH>
                <wp:positionV relativeFrom="paragraph">
                  <wp:posOffset>-53926</wp:posOffset>
                </wp:positionV>
                <wp:extent cx="6612255" cy="237490"/>
                <wp:effectExtent l="0" t="0" r="0" b="0"/>
                <wp:wrapNone/>
                <wp:docPr id="8547898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rect w14:anchorId="2A616737" id="Rectangle 100" o:spid="_x0000_s1026" style="position:absolute;margin-left:-9.1pt;margin-top:-4.25pt;width:520.65pt;height:1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fillcolor="black" stroked="f"/>
            </w:pict>
          </mc:Fallback>
        </mc:AlternateContent>
      </w:r>
      <w:r w:rsidRPr="005D5075">
        <w:rPr>
          <w:rFonts w:ascii="Sto TT" w:hAnsi="Sto TT" w:cs="Arial"/>
          <w:b/>
          <w:color w:val="FFFFFF"/>
          <w:sz w:val="22"/>
          <w:szCs w:val="22"/>
        </w:rPr>
        <w:t>OBSERVATIONS GENERALES</w:t>
      </w:r>
    </w:p>
    <w:p w14:paraId="06BC4011" w14:textId="77777777" w:rsidR="00316157" w:rsidRPr="005D5075" w:rsidRDefault="00316157" w:rsidP="00316157">
      <w:pPr>
        <w:ind w:left="-709" w:right="1" w:firstLine="283"/>
        <w:jc w:val="both"/>
        <w:rPr>
          <w:rFonts w:ascii="Sto TT" w:hAnsi="Sto TT" w:cs="Arial"/>
          <w:b/>
          <w:bCs/>
          <w:color w:val="000000"/>
          <w:sz w:val="12"/>
          <w:szCs w:val="12"/>
        </w:rPr>
      </w:pPr>
    </w:p>
    <w:p w14:paraId="7EF28771" w14:textId="77777777" w:rsidR="00316157" w:rsidRPr="005D5075" w:rsidRDefault="00316157" w:rsidP="00316157">
      <w:pPr>
        <w:ind w:right="1"/>
        <w:jc w:val="both"/>
        <w:rPr>
          <w:rFonts w:ascii="Sto TT" w:eastAsia="Courier New" w:hAnsi="Sto TT" w:cs="Arial"/>
          <w:sz w:val="17"/>
          <w:szCs w:val="17"/>
        </w:rPr>
      </w:pPr>
      <w:r w:rsidRPr="005D5075">
        <w:rPr>
          <w:rFonts w:ascii="Sto TT" w:eastAsia="Verdana" w:hAnsi="Sto TT" w:cs="Arial"/>
          <w:b/>
          <w:bCs/>
          <w:sz w:val="17"/>
          <w:szCs w:val="17"/>
          <w:u w:val="single"/>
        </w:rPr>
        <w:t>Validité de la recommandation</w:t>
      </w:r>
    </w:p>
    <w:p w14:paraId="3942EDE4" w14:textId="77777777" w:rsidR="00316157" w:rsidRPr="005D5075" w:rsidRDefault="00316157" w:rsidP="00316157">
      <w:pPr>
        <w:jc w:val="both"/>
        <w:rPr>
          <w:rFonts w:ascii="Sto TT" w:eastAsia="Courier New" w:hAnsi="Sto TT" w:cs="Arial"/>
          <w:sz w:val="17"/>
          <w:szCs w:val="17"/>
        </w:rPr>
      </w:pPr>
    </w:p>
    <w:p w14:paraId="57AD16C6" w14:textId="77777777" w:rsidR="00316157" w:rsidRPr="005D5075" w:rsidRDefault="00316157" w:rsidP="00316157">
      <w:pPr>
        <w:jc w:val="both"/>
        <w:rPr>
          <w:rFonts w:ascii="Sto TT" w:eastAsia="Courier New" w:hAnsi="Sto TT" w:cs="Arial"/>
          <w:sz w:val="17"/>
          <w:szCs w:val="17"/>
        </w:rPr>
      </w:pPr>
      <w:r w:rsidRPr="005D5075">
        <w:rPr>
          <w:rFonts w:ascii="Sto TT" w:eastAsia="Verdana" w:hAnsi="Sto TT" w:cs="Arial"/>
          <w:b/>
          <w:bCs/>
          <w:sz w:val="17"/>
          <w:szCs w:val="17"/>
        </w:rPr>
        <w:t>Pour tout chantier, à partir de 2000m², pour éviter tout écart de teinte sur de grandes surfaces, en particulier dans le cas de teintes soutenues :</w:t>
      </w:r>
    </w:p>
    <w:p w14:paraId="264F86B1" w14:textId="77777777" w:rsidR="00316157" w:rsidRPr="005D5075" w:rsidRDefault="00316157" w:rsidP="00316157">
      <w:pPr>
        <w:numPr>
          <w:ilvl w:val="0"/>
          <w:numId w:val="1"/>
        </w:numPr>
        <w:ind w:right="1"/>
        <w:jc w:val="both"/>
        <w:rPr>
          <w:rFonts w:ascii="Sto TT" w:hAnsi="Sto TT" w:cs="Arial"/>
          <w:sz w:val="17"/>
          <w:szCs w:val="17"/>
        </w:rPr>
      </w:pPr>
      <w:r w:rsidRPr="005D5075">
        <w:rPr>
          <w:rFonts w:ascii="Sto TT" w:eastAsia="Verdana" w:hAnsi="Sto TT" w:cs="Arial"/>
          <w:b/>
          <w:bCs/>
          <w:sz w:val="17"/>
          <w:szCs w:val="17"/>
        </w:rPr>
        <w:t>Commandez un lot teinté unique dès le départ de votre chantier.</w:t>
      </w:r>
      <w:r w:rsidRPr="005D5075">
        <w:rPr>
          <w:rFonts w:ascii="Sto TT" w:eastAsia="Verdana" w:hAnsi="Sto TT" w:cs="Arial"/>
          <w:sz w:val="17"/>
          <w:szCs w:val="17"/>
        </w:rPr>
        <w:t xml:space="preserve"> Si besoin, demandez à votre contact commercial ou logistique des livraisons étalées dans le temps selon l’avancée de votre chantier.</w:t>
      </w:r>
    </w:p>
    <w:p w14:paraId="53EF0932" w14:textId="77777777" w:rsidR="00316157" w:rsidRPr="005D5075" w:rsidRDefault="00316157" w:rsidP="00316157">
      <w:pPr>
        <w:numPr>
          <w:ilvl w:val="0"/>
          <w:numId w:val="1"/>
        </w:numPr>
        <w:ind w:right="1"/>
        <w:jc w:val="both"/>
        <w:rPr>
          <w:rFonts w:ascii="Sto TT" w:hAnsi="Sto TT" w:cs="Arial"/>
          <w:sz w:val="17"/>
          <w:szCs w:val="17"/>
        </w:rPr>
      </w:pPr>
      <w:r w:rsidRPr="005D5075">
        <w:rPr>
          <w:rFonts w:ascii="Sto TT" w:eastAsia="Verdana" w:hAnsi="Sto TT"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14:paraId="1440954A" w14:textId="77777777" w:rsidR="00316157" w:rsidRPr="005D5075" w:rsidRDefault="00316157" w:rsidP="00316157">
      <w:pPr>
        <w:jc w:val="both"/>
        <w:rPr>
          <w:rFonts w:ascii="Sto TT" w:eastAsia="Courier New" w:hAnsi="Sto TT" w:cs="Arial"/>
          <w:sz w:val="17"/>
          <w:szCs w:val="17"/>
        </w:rPr>
      </w:pPr>
      <w:r w:rsidRPr="005D5075">
        <w:rPr>
          <w:rFonts w:ascii="Sto TT" w:eastAsia="Verdana" w:hAnsi="Sto TT" w:cs="Arial"/>
          <w:sz w:val="17"/>
          <w:szCs w:val="17"/>
        </w:rPr>
        <w:t>Pour assurer une parfaite uniformisation en teinte de l’ensemble, nous vous conseillons d'utiliser les mêmes numéros de lots sur une même face.</w:t>
      </w:r>
    </w:p>
    <w:p w14:paraId="0CABEE5C" w14:textId="77777777" w:rsidR="00316157" w:rsidRPr="005D5075" w:rsidRDefault="00316157" w:rsidP="00316157">
      <w:pPr>
        <w:jc w:val="both"/>
        <w:rPr>
          <w:rFonts w:ascii="Sto TT" w:eastAsia="Courier New" w:hAnsi="Sto TT" w:cs="Arial"/>
          <w:sz w:val="17"/>
          <w:szCs w:val="17"/>
        </w:rPr>
      </w:pPr>
    </w:p>
    <w:p w14:paraId="3AE3F4EC" w14:textId="77777777" w:rsidR="00316157" w:rsidRPr="005D5075" w:rsidRDefault="00316157" w:rsidP="00316157">
      <w:pPr>
        <w:ind w:right="1"/>
        <w:jc w:val="both"/>
        <w:rPr>
          <w:rFonts w:ascii="Sto TT" w:eastAsia="Courier New" w:hAnsi="Sto TT" w:cs="Arial"/>
          <w:sz w:val="17"/>
          <w:szCs w:val="17"/>
        </w:rPr>
      </w:pPr>
      <w:r w:rsidRPr="005D5075">
        <w:rPr>
          <w:rFonts w:ascii="Sto TT" w:eastAsia="Verdana" w:hAnsi="Sto TT" w:cs="Arial"/>
          <w:b/>
          <w:bCs/>
          <w:sz w:val="17"/>
          <w:szCs w:val="17"/>
          <w:u w:val="single"/>
        </w:rPr>
        <w:t>Sismique</w:t>
      </w:r>
      <w:r w:rsidRPr="005D5075">
        <w:rPr>
          <w:rFonts w:ascii="Sto TT" w:eastAsia="Verdana" w:hAnsi="Sto TT" w:cs="Arial"/>
          <w:sz w:val="17"/>
          <w:szCs w:val="17"/>
        </w:rPr>
        <w:t xml:space="preserve">   </w:t>
      </w:r>
    </w:p>
    <w:p w14:paraId="5637CFBC" w14:textId="77777777" w:rsidR="00316157" w:rsidRPr="005D5075" w:rsidRDefault="00316157" w:rsidP="00316157">
      <w:pPr>
        <w:jc w:val="both"/>
        <w:rPr>
          <w:rFonts w:ascii="Sto TT" w:eastAsia="Verdana" w:hAnsi="Sto TT" w:cs="Arial"/>
          <w:sz w:val="17"/>
          <w:szCs w:val="17"/>
        </w:rPr>
      </w:pPr>
    </w:p>
    <w:p w14:paraId="36293C82" w14:textId="77777777" w:rsidR="00316157" w:rsidRPr="005D5075" w:rsidRDefault="00316157" w:rsidP="00316157">
      <w:pPr>
        <w:jc w:val="both"/>
        <w:rPr>
          <w:rFonts w:ascii="Sto TT" w:eastAsia="Verdana" w:hAnsi="Sto TT" w:cs="Arial"/>
          <w:sz w:val="17"/>
          <w:szCs w:val="17"/>
        </w:rPr>
      </w:pPr>
      <w:r w:rsidRPr="005D5075">
        <w:rPr>
          <w:rFonts w:ascii="Sto TT" w:eastAsia="Verdana" w:hAnsi="Sto TT" w:cs="Arial"/>
          <w:sz w:val="17"/>
          <w:szCs w:val="17"/>
        </w:rPr>
        <w:t xml:space="preserve">     - En rénovation, si le bâtiment existant n'a aucune performance parasismique déclarée et s'il ne fait pas l'objet d'une rénovation lourde au sens de l'Arrêté du 22 Octobre 2010 avec modification de la SHON entraînant une remise en conformité sismique obligatoire, la pose du système d'ITE est possible sans restriction de masse surfacique, en tant qu'élément non structurel (cf. Guide ENS 2014 sur les Eléments Non Structuraux "</w:t>
      </w:r>
      <w:r w:rsidRPr="005D5075">
        <w:rPr>
          <w:rFonts w:ascii="Sto TT" w:eastAsia="Verdana" w:hAnsi="Sto TT" w:cs="Arial"/>
          <w:i/>
          <w:iCs/>
          <w:sz w:val="17"/>
          <w:szCs w:val="17"/>
        </w:rPr>
        <w:t>DIMENSIONNEMENT PARASISMIQUE DES ÉLÉMENTS NON STRUCTURAUX DU CADRE BÂTI</w:t>
      </w:r>
      <w:r w:rsidRPr="005D5075">
        <w:rPr>
          <w:rFonts w:ascii="Sto TT" w:eastAsia="Verdana" w:hAnsi="Sto TT" w:cs="Arial"/>
          <w:sz w:val="17"/>
          <w:szCs w:val="17"/>
        </w:rPr>
        <w:t xml:space="preserve">" du Ministère de l'Ecologie, du Développement Durable et de l'Energie). </w:t>
      </w:r>
      <w:r w:rsidRPr="005D5075">
        <w:rPr>
          <w:rFonts w:ascii="Sto TT" w:eastAsia="Verdana" w:hAnsi="Sto TT" w:cs="Arial"/>
          <w:b/>
          <w:bCs/>
          <w:sz w:val="17"/>
          <w:szCs w:val="17"/>
        </w:rPr>
        <w:t>Cette pose devra dans tous les cas être validée par les autorités compétentes en charge du chantier.</w:t>
      </w:r>
    </w:p>
    <w:p w14:paraId="67031F91" w14:textId="77777777" w:rsidR="00316157" w:rsidRPr="005D5075" w:rsidRDefault="00316157" w:rsidP="00316157">
      <w:pPr>
        <w:jc w:val="both"/>
        <w:rPr>
          <w:rFonts w:ascii="Sto TT" w:eastAsia="Verdana" w:hAnsi="Sto TT" w:cs="Arial"/>
          <w:sz w:val="17"/>
          <w:szCs w:val="17"/>
        </w:rPr>
      </w:pPr>
      <w:r w:rsidRPr="005D5075">
        <w:rPr>
          <w:rFonts w:ascii="Sto TT" w:eastAsia="Verdana" w:hAnsi="Sto TT" w:cs="Arial"/>
          <w:sz w:val="17"/>
          <w:szCs w:val="17"/>
        </w:rPr>
        <w:t xml:space="preserve">     - Dans tous les autres cas de rénovation (bâtiment existant avec justification de performance parasismique ou rénovation lourde), la pose du système est interdite dans les zones foncées du tableau ci-dessous (source Guide ENS 2014).</w:t>
      </w:r>
    </w:p>
    <w:p w14:paraId="7DDEDD6E" w14:textId="77777777" w:rsidR="00316157" w:rsidRPr="005D5075" w:rsidRDefault="00316157" w:rsidP="00316157">
      <w:pPr>
        <w:jc w:val="center"/>
        <w:rPr>
          <w:rFonts w:ascii="Sto TT" w:eastAsia="Verdana" w:hAnsi="Sto TT" w:cs="Arial"/>
          <w:sz w:val="17"/>
          <w:szCs w:val="17"/>
        </w:rPr>
      </w:pPr>
      <w:r w:rsidRPr="005D5075">
        <w:rPr>
          <w:rFonts w:ascii="Sto TT" w:eastAsia="Verdana" w:hAnsi="Sto TT" w:cs="Arial"/>
          <w:noProof/>
          <w:sz w:val="17"/>
          <w:szCs w:val="17"/>
        </w:rPr>
        <w:lastRenderedPageBreak/>
        <w:drawing>
          <wp:inline distT="0" distB="0" distL="0" distR="0" wp14:anchorId="7B22C43A" wp14:editId="7FCEE711">
            <wp:extent cx="4259580" cy="1489443"/>
            <wp:effectExtent l="0" t="0" r="7620" b="0"/>
            <wp:docPr id="100075" name="Image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 name=""/>
                    <pic:cNvPicPr>
                      <a:picLocks noChangeAspect="1"/>
                    </pic:cNvPicPr>
                  </pic:nvPicPr>
                  <pic:blipFill>
                    <a:blip r:embed="rId29"/>
                    <a:stretch>
                      <a:fillRect/>
                    </a:stretch>
                  </pic:blipFill>
                  <pic:spPr>
                    <a:xfrm>
                      <a:off x="0" y="0"/>
                      <a:ext cx="4319809" cy="1510503"/>
                    </a:xfrm>
                    <a:prstGeom prst="rect">
                      <a:avLst/>
                    </a:prstGeom>
                  </pic:spPr>
                </pic:pic>
              </a:graphicData>
            </a:graphic>
          </wp:inline>
        </w:drawing>
      </w:r>
    </w:p>
    <w:p w14:paraId="69E1CA68" w14:textId="77777777" w:rsidR="00316157" w:rsidRPr="005D5075" w:rsidRDefault="00316157" w:rsidP="00316157">
      <w:pPr>
        <w:jc w:val="both"/>
        <w:rPr>
          <w:rFonts w:ascii="Sto TT" w:eastAsia="Verdana" w:hAnsi="Sto TT" w:cs="Arial"/>
          <w:sz w:val="17"/>
          <w:szCs w:val="17"/>
        </w:rPr>
      </w:pPr>
      <w:r w:rsidRPr="005D5075">
        <w:rPr>
          <w:rFonts w:ascii="Sto TT" w:eastAsia="Verdana" w:hAnsi="Sto TT" w:cs="Arial"/>
          <w:sz w:val="17"/>
          <w:szCs w:val="17"/>
        </w:rPr>
        <w:t xml:space="preserve"> </w:t>
      </w:r>
    </w:p>
    <w:p w14:paraId="161EE4F4" w14:textId="77777777" w:rsidR="00316157" w:rsidRPr="005D5075" w:rsidRDefault="00316157" w:rsidP="00316157">
      <w:pPr>
        <w:jc w:val="both"/>
        <w:rPr>
          <w:rFonts w:ascii="Sto TT" w:eastAsia="Verdana" w:hAnsi="Sto TT" w:cs="Arial"/>
          <w:sz w:val="17"/>
          <w:szCs w:val="17"/>
        </w:rPr>
      </w:pPr>
      <w:r w:rsidRPr="005D5075">
        <w:rPr>
          <w:rFonts w:ascii="Sto TT" w:eastAsia="Verdana" w:hAnsi="Sto TT" w:cs="Arial"/>
          <w:sz w:val="17"/>
          <w:szCs w:val="17"/>
        </w:rPr>
        <w:t xml:space="preserve"> - Pour les bâtiments neufs, la pose du système est interdite dans les zones foncées du tableau ci-dessous (source Guide ENS 2014).</w:t>
      </w:r>
    </w:p>
    <w:p w14:paraId="3A423111" w14:textId="77777777" w:rsidR="00316157" w:rsidRPr="005D5075" w:rsidRDefault="00316157" w:rsidP="00316157">
      <w:pPr>
        <w:ind w:right="1"/>
        <w:jc w:val="center"/>
        <w:rPr>
          <w:rFonts w:ascii="Sto TT" w:eastAsia="Verdana" w:hAnsi="Sto TT" w:cs="Arial"/>
          <w:b/>
          <w:bCs/>
          <w:sz w:val="17"/>
          <w:szCs w:val="17"/>
          <w:u w:val="single"/>
        </w:rPr>
      </w:pPr>
      <w:r w:rsidRPr="005D5075">
        <w:rPr>
          <w:rFonts w:ascii="Sto TT" w:eastAsia="Verdana" w:hAnsi="Sto TT" w:cs="Arial"/>
          <w:sz w:val="17"/>
          <w:szCs w:val="17"/>
        </w:rPr>
        <w:br/>
      </w:r>
      <w:r w:rsidRPr="005D5075">
        <w:rPr>
          <w:rFonts w:ascii="Sto TT" w:hAnsi="Sto TT" w:cs="Arial"/>
          <w:noProof/>
        </w:rPr>
        <w:drawing>
          <wp:inline distT="0" distB="0" distL="0" distR="0" wp14:anchorId="3F837D13" wp14:editId="32620C28">
            <wp:extent cx="4290060" cy="1338844"/>
            <wp:effectExtent l="0" t="0" r="0" b="0"/>
            <wp:docPr id="100077" name="Image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
                    <pic:cNvPicPr>
                      <a:picLocks noChangeAspect="1"/>
                    </pic:cNvPicPr>
                  </pic:nvPicPr>
                  <pic:blipFill>
                    <a:blip r:embed="rId30"/>
                    <a:stretch>
                      <a:fillRect/>
                    </a:stretch>
                  </pic:blipFill>
                  <pic:spPr>
                    <a:xfrm>
                      <a:off x="0" y="0"/>
                      <a:ext cx="4309758" cy="1344991"/>
                    </a:xfrm>
                    <a:prstGeom prst="rect">
                      <a:avLst/>
                    </a:prstGeom>
                  </pic:spPr>
                </pic:pic>
              </a:graphicData>
            </a:graphic>
          </wp:inline>
        </w:drawing>
      </w:r>
      <w:r w:rsidRPr="005D5075">
        <w:rPr>
          <w:rFonts w:ascii="Sto TT" w:hAnsi="Sto TT" w:cs="Arial"/>
        </w:rPr>
        <w:br/>
      </w:r>
    </w:p>
    <w:p w14:paraId="18613D82" w14:textId="77777777" w:rsidR="00316157" w:rsidRPr="005D5075" w:rsidRDefault="00316157" w:rsidP="00316157">
      <w:pPr>
        <w:ind w:right="1"/>
        <w:jc w:val="both"/>
        <w:rPr>
          <w:rFonts w:ascii="Sto TT" w:eastAsia="Verdana" w:hAnsi="Sto TT" w:cs="Arial"/>
          <w:b/>
          <w:bCs/>
          <w:sz w:val="17"/>
          <w:szCs w:val="17"/>
          <w:u w:val="single"/>
        </w:rPr>
      </w:pPr>
    </w:p>
    <w:p w14:paraId="65816004" w14:textId="77777777" w:rsidR="00316157" w:rsidRPr="005D5075" w:rsidRDefault="00316157" w:rsidP="00316157">
      <w:pPr>
        <w:ind w:right="1"/>
        <w:jc w:val="both"/>
        <w:rPr>
          <w:rFonts w:ascii="Sto TT" w:eastAsia="Courier New" w:hAnsi="Sto TT" w:cs="Arial"/>
          <w:sz w:val="17"/>
          <w:szCs w:val="17"/>
        </w:rPr>
      </w:pPr>
      <w:r w:rsidRPr="005D5075">
        <w:rPr>
          <w:rFonts w:ascii="Sto TT" w:eastAsia="Verdana" w:hAnsi="Sto TT" w:cs="Arial"/>
          <w:b/>
          <w:bCs/>
          <w:sz w:val="17"/>
          <w:szCs w:val="17"/>
          <w:u w:val="single"/>
        </w:rPr>
        <w:t>Réglementation Incendie</w:t>
      </w:r>
    </w:p>
    <w:p w14:paraId="2F4D77B5" w14:textId="77777777" w:rsidR="00316157" w:rsidRPr="005D5075" w:rsidRDefault="00316157" w:rsidP="00316157">
      <w:pPr>
        <w:jc w:val="both"/>
        <w:rPr>
          <w:rFonts w:ascii="Sto TT" w:eastAsia="Verdana" w:hAnsi="Sto TT" w:cs="Arial"/>
          <w:sz w:val="17"/>
          <w:szCs w:val="17"/>
        </w:rPr>
      </w:pPr>
      <w:r w:rsidRPr="005D5075">
        <w:rPr>
          <w:rFonts w:ascii="Sto TT" w:eastAsia="Verdana" w:hAnsi="Sto TT" w:cs="Arial"/>
          <w:b/>
          <w:bCs/>
          <w:sz w:val="17"/>
          <w:szCs w:val="17"/>
        </w:rPr>
        <w:t>L'entreprise qui réalise les travaux à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14:paraId="49F63711" w14:textId="77777777" w:rsidR="00316157" w:rsidRPr="005D5075" w:rsidRDefault="00316157" w:rsidP="00316157">
      <w:pPr>
        <w:jc w:val="both"/>
        <w:rPr>
          <w:rFonts w:ascii="Sto TT" w:eastAsia="Verdana" w:hAnsi="Sto TT" w:cs="Arial"/>
          <w:sz w:val="17"/>
          <w:szCs w:val="17"/>
        </w:rPr>
      </w:pPr>
      <w:r w:rsidRPr="005D5075">
        <w:rPr>
          <w:rFonts w:ascii="Sto TT" w:eastAsia="Verdana" w:hAnsi="Sto TT" w:cs="Arial"/>
          <w:b/>
          <w:bCs/>
          <w:sz w:val="17"/>
          <w:szCs w:val="17"/>
        </w:rPr>
        <w:t>Actualité IMH et arrêté de 1986 :</w:t>
      </w:r>
    </w:p>
    <w:p w14:paraId="05AB58A0" w14:textId="77777777" w:rsidR="00316157" w:rsidRPr="005D5075" w:rsidRDefault="00316157" w:rsidP="00316157">
      <w:pPr>
        <w:jc w:val="both"/>
        <w:rPr>
          <w:rFonts w:ascii="Sto TT" w:eastAsia="Verdana" w:hAnsi="Sto TT" w:cs="Arial"/>
          <w:b/>
          <w:bCs/>
          <w:sz w:val="17"/>
          <w:szCs w:val="17"/>
        </w:rPr>
      </w:pPr>
      <w:r w:rsidRPr="005D5075">
        <w:rPr>
          <w:rFonts w:ascii="Sto TT" w:eastAsia="Verdana" w:hAnsi="Sto TT" w:cs="Arial"/>
          <w:b/>
          <w:bCs/>
          <w:sz w:val="17"/>
          <w:szCs w:val="17"/>
        </w:rPr>
        <w:t>Un décret n° 2019-461 du 16 mai 2019 et un arrêté du 7 août 2019* décrivent la réglementation relative aux IMH (immeubles de moyenne hauteur).</w:t>
      </w:r>
    </w:p>
    <w:p w14:paraId="1973B69D" w14:textId="77777777" w:rsidR="00316157" w:rsidRPr="005D5075" w:rsidRDefault="00316157" w:rsidP="00316157">
      <w:pPr>
        <w:jc w:val="both"/>
        <w:rPr>
          <w:rFonts w:ascii="Sto TT" w:eastAsia="Verdana" w:hAnsi="Sto TT" w:cs="Arial"/>
          <w:b/>
          <w:bCs/>
          <w:sz w:val="17"/>
          <w:szCs w:val="17"/>
        </w:rPr>
      </w:pPr>
      <w:r w:rsidRPr="005D5075">
        <w:rPr>
          <w:rFonts w:ascii="Sto TT" w:eastAsia="Verdana" w:hAnsi="Sto TT" w:cs="Arial"/>
          <w:b/>
          <w:bCs/>
          <w:sz w:val="17"/>
          <w:szCs w:val="17"/>
        </w:rPr>
        <w:t>Un deuxième arrêté du 7 août 2019** modifie l'arrêté du 31 janvier 1986 relatif à la protection contre l'incendie des bâtiments d'habitation.</w:t>
      </w:r>
    </w:p>
    <w:p w14:paraId="07315944" w14:textId="77777777" w:rsidR="00316157" w:rsidRPr="005D5075" w:rsidRDefault="00316157" w:rsidP="00316157">
      <w:pPr>
        <w:jc w:val="both"/>
        <w:rPr>
          <w:rFonts w:ascii="Sto TT" w:eastAsia="Verdana" w:hAnsi="Sto TT" w:cs="Arial"/>
          <w:b/>
          <w:bCs/>
          <w:sz w:val="17"/>
          <w:szCs w:val="17"/>
        </w:rPr>
      </w:pPr>
      <w:r w:rsidRPr="005D5075">
        <w:rPr>
          <w:rFonts w:ascii="Sto TT" w:eastAsia="Verdana" w:hAnsi="Sto TT"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14:paraId="0B3A29F9" w14:textId="77777777" w:rsidR="00316157" w:rsidRPr="005D5075" w:rsidRDefault="00316157" w:rsidP="00316157">
      <w:pPr>
        <w:jc w:val="both"/>
        <w:rPr>
          <w:rFonts w:ascii="Sto TT" w:eastAsia="Verdana" w:hAnsi="Sto TT" w:cs="Arial"/>
          <w:b/>
          <w:bCs/>
          <w:sz w:val="17"/>
          <w:szCs w:val="17"/>
        </w:rPr>
      </w:pPr>
    </w:p>
    <w:p w14:paraId="5168E5A3" w14:textId="77777777" w:rsidR="00316157" w:rsidRPr="005D5075" w:rsidRDefault="00316157" w:rsidP="00316157">
      <w:pPr>
        <w:jc w:val="both"/>
        <w:rPr>
          <w:rFonts w:ascii="Sto TT" w:eastAsia="Verdana" w:hAnsi="Sto TT" w:cs="Arial"/>
          <w:b/>
          <w:bCs/>
          <w:sz w:val="17"/>
          <w:szCs w:val="17"/>
        </w:rPr>
      </w:pPr>
      <w:r w:rsidRPr="005D5075">
        <w:rPr>
          <w:rFonts w:ascii="Sto TT" w:eastAsia="Verdana" w:hAnsi="Sto TT" w:cs="Arial"/>
          <w:b/>
          <w:bCs/>
          <w:sz w:val="17"/>
          <w:szCs w:val="17"/>
        </w:rPr>
        <w:t>Suivant les dates de déclaration préalable ou de demande de permis de construire déposés, il relève de la responsabilité de la Maîtrise d'Ouvrage et de la Maîtrise d'Œuvre de prendre en compte les évolutions réglementaires dans son ensemble et de signaler tout élément pouvant nécessiter la modification des traitements proposés.</w:t>
      </w:r>
    </w:p>
    <w:p w14:paraId="403E7030" w14:textId="77777777" w:rsidR="00316157" w:rsidRPr="005D5075" w:rsidRDefault="00316157" w:rsidP="00316157">
      <w:pPr>
        <w:jc w:val="both"/>
        <w:rPr>
          <w:rFonts w:ascii="Sto TT" w:eastAsia="Verdana" w:hAnsi="Sto TT" w:cs="Arial"/>
          <w:b/>
          <w:bCs/>
          <w:sz w:val="17"/>
          <w:szCs w:val="17"/>
        </w:rPr>
      </w:pPr>
    </w:p>
    <w:p w14:paraId="3662B057" w14:textId="77777777" w:rsidR="00316157" w:rsidRPr="005D5075" w:rsidRDefault="00316157" w:rsidP="00316157">
      <w:pPr>
        <w:jc w:val="both"/>
        <w:rPr>
          <w:rFonts w:ascii="Sto TT" w:eastAsia="Verdana" w:hAnsi="Sto TT" w:cs="Arial"/>
          <w:b/>
          <w:bCs/>
          <w:sz w:val="17"/>
          <w:szCs w:val="17"/>
        </w:rPr>
      </w:pPr>
      <w:r w:rsidRPr="005D5075">
        <w:rPr>
          <w:rFonts w:ascii="Sto TT" w:eastAsia="Verdana" w:hAnsi="Sto TT" w:cs="Arial"/>
          <w:b/>
          <w:bCs/>
          <w:sz w:val="17"/>
          <w:szCs w:val="17"/>
        </w:rPr>
        <w:t>*Arrêté du 7 août 2019 relatif aux travaux de modification des immeubles de moyenne hauteur et précisant les solutions constructives acceptables pour les rénovations de façade.</w:t>
      </w:r>
    </w:p>
    <w:p w14:paraId="0313B75A" w14:textId="77777777" w:rsidR="00316157" w:rsidRPr="005D5075" w:rsidRDefault="00316157" w:rsidP="00316157">
      <w:pPr>
        <w:jc w:val="both"/>
        <w:rPr>
          <w:rFonts w:ascii="Sto TT" w:eastAsia="Verdana" w:hAnsi="Sto TT" w:cs="Arial"/>
          <w:b/>
          <w:bCs/>
          <w:sz w:val="17"/>
          <w:szCs w:val="17"/>
        </w:rPr>
      </w:pPr>
      <w:r w:rsidRPr="005D5075">
        <w:rPr>
          <w:rFonts w:ascii="Sto TT" w:eastAsia="Verdana" w:hAnsi="Sto TT" w:cs="Arial"/>
          <w:b/>
          <w:bCs/>
          <w:sz w:val="17"/>
          <w:szCs w:val="17"/>
        </w:rPr>
        <w:t>** Arrêté du 7 août 2019 modifiant l’arrêté du 31 janvier 1986 relatif à la protection contre l’incendie des bâtiments d’habitation.</w:t>
      </w:r>
    </w:p>
    <w:p w14:paraId="266D9E96" w14:textId="77777777" w:rsidR="00316157" w:rsidRPr="005D5075" w:rsidRDefault="00316157" w:rsidP="00316157">
      <w:pPr>
        <w:jc w:val="both"/>
        <w:rPr>
          <w:rFonts w:ascii="Sto TT" w:eastAsia="Verdana" w:hAnsi="Sto TT" w:cs="Arial"/>
          <w:b/>
          <w:bCs/>
          <w:sz w:val="18"/>
          <w:szCs w:val="18"/>
        </w:rPr>
      </w:pPr>
    </w:p>
    <w:p w14:paraId="56699E62" w14:textId="77777777" w:rsidR="00316157" w:rsidRPr="005D5075" w:rsidRDefault="00316157" w:rsidP="00316157">
      <w:pPr>
        <w:jc w:val="both"/>
        <w:rPr>
          <w:rFonts w:ascii="Sto TT" w:hAnsi="Sto TT" w:cs="Arial"/>
        </w:rPr>
      </w:pPr>
      <w:r w:rsidRPr="005D5075">
        <w:rPr>
          <w:rFonts w:ascii="Sto TT" w:hAnsi="Sto TT" w:cs="Arial"/>
        </w:rPr>
        <w:br/>
      </w:r>
      <w:r w:rsidRPr="005D5075">
        <w:rPr>
          <w:rFonts w:ascii="Sto TT" w:eastAsia="Segoe UI" w:hAnsi="Sto TT" w:cs="Arial"/>
          <w:sz w:val="22"/>
          <w:szCs w:val="22"/>
        </w:rPr>
        <w:t> </w:t>
      </w:r>
    </w:p>
    <w:p w14:paraId="2CEE07CB" w14:textId="77777777" w:rsidR="00316157" w:rsidRPr="005D5075" w:rsidRDefault="00316157" w:rsidP="00316157">
      <w:pPr>
        <w:ind w:right="1"/>
        <w:jc w:val="both"/>
        <w:rPr>
          <w:rFonts w:ascii="Sto TT" w:hAnsi="Sto TT" w:cs="Arial"/>
        </w:rPr>
      </w:pPr>
      <w:r w:rsidRPr="005D5075">
        <w:rPr>
          <w:rFonts w:ascii="Sto TT" w:hAnsi="Sto TT" w:cs="Arial"/>
          <w:noProof/>
        </w:rPr>
        <w:drawing>
          <wp:anchor distT="0" distB="0" distL="114300" distR="114300" simplePos="0" relativeHeight="251661312" behindDoc="1" locked="0" layoutInCell="1" allowOverlap="1" wp14:anchorId="76793498" wp14:editId="22E391CC">
            <wp:simplePos x="0" y="0"/>
            <wp:positionH relativeFrom="margin">
              <wp:align>center</wp:align>
            </wp:positionH>
            <wp:positionV relativeFrom="paragraph">
              <wp:posOffset>4521</wp:posOffset>
            </wp:positionV>
            <wp:extent cx="1653683" cy="548688"/>
            <wp:effectExtent l="0" t="0" r="3810" b="3810"/>
            <wp:wrapNone/>
            <wp:docPr id="1827020363"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p>
    <w:p w14:paraId="42ADC9B1" w14:textId="77777777" w:rsidR="00316157" w:rsidRPr="005D5075" w:rsidRDefault="00316157" w:rsidP="00316157">
      <w:pPr>
        <w:ind w:right="1"/>
        <w:jc w:val="both"/>
        <w:rPr>
          <w:rFonts w:ascii="Sto TT" w:hAnsi="Sto TT" w:cs="Arial"/>
        </w:rPr>
      </w:pPr>
    </w:p>
    <w:p w14:paraId="201F6810" w14:textId="77777777" w:rsidR="00316157" w:rsidRPr="005D5075" w:rsidRDefault="00316157" w:rsidP="00316157">
      <w:pPr>
        <w:ind w:left="-709"/>
        <w:jc w:val="both"/>
        <w:rPr>
          <w:rFonts w:ascii="Sto TT" w:eastAsia="Verdana" w:hAnsi="Sto TT" w:cs="Arial"/>
          <w:sz w:val="18"/>
          <w:szCs w:val="18"/>
        </w:rPr>
      </w:pPr>
    </w:p>
    <w:tbl>
      <w:tblPr>
        <w:tblW w:w="1049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316157" w:rsidRPr="005D5075" w14:paraId="32BCABE0" w14:textId="77777777" w:rsidTr="00181368">
        <w:trPr>
          <w:trHeight w:val="12333"/>
        </w:trPr>
        <w:tc>
          <w:tcPr>
            <w:tcW w:w="10490" w:type="dxa"/>
            <w:tcBorders>
              <w:top w:val="nil"/>
              <w:left w:val="nil"/>
              <w:bottom w:val="nil"/>
              <w:right w:val="nil"/>
            </w:tcBorders>
          </w:tcPr>
          <w:p w14:paraId="6FE802B4" w14:textId="77777777" w:rsidR="00316157" w:rsidRPr="005D5075" w:rsidRDefault="00316157" w:rsidP="00181368">
            <w:pPr>
              <w:ind w:right="1"/>
              <w:jc w:val="both"/>
              <w:rPr>
                <w:rFonts w:ascii="Sto TT" w:hAnsi="Sto TT" w:cs="Arial"/>
              </w:rPr>
            </w:pPr>
          </w:p>
        </w:tc>
      </w:tr>
    </w:tbl>
    <w:p w14:paraId="0B1A8D37" w14:textId="77777777" w:rsidR="00316157" w:rsidRPr="005D5075" w:rsidRDefault="00316157" w:rsidP="00316157">
      <w:pPr>
        <w:rPr>
          <w:rFonts w:ascii="Sto TT" w:eastAsia="Verdana" w:hAnsi="Sto TT" w:cs="Arial"/>
          <w:b/>
          <w:bCs/>
          <w:color w:val="2F5496" w:themeColor="accent5" w:themeShade="BF"/>
          <w:sz w:val="36"/>
          <w:szCs w:val="36"/>
        </w:rPr>
      </w:pPr>
    </w:p>
    <w:p w14:paraId="1459DC51" w14:textId="093909B9" w:rsidR="00AD731C" w:rsidRPr="00316157" w:rsidRDefault="00AD731C" w:rsidP="00316157"/>
    <w:sectPr w:rsidR="00AD731C" w:rsidRPr="00316157" w:rsidSect="00A309BF">
      <w:headerReference w:type="even" r:id="rId32"/>
      <w:headerReference w:type="default" r:id="rId33"/>
      <w:footerReference w:type="default" r:id="rId34"/>
      <w:headerReference w:type="first" r:id="rId35"/>
      <w:pgSz w:w="11906" w:h="16838"/>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8DA07" w14:textId="77777777" w:rsidR="003211E4" w:rsidRDefault="003211E4">
      <w:r>
        <w:separator/>
      </w:r>
    </w:p>
  </w:endnote>
  <w:endnote w:type="continuationSeparator" w:id="0">
    <w:p w14:paraId="35FCCF76" w14:textId="77777777" w:rsidR="003211E4" w:rsidRDefault="0032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 TT">
    <w:panose1 w:val="02010504010101010104"/>
    <w:charset w:val="00"/>
    <w:family w:val="swiss"/>
    <w:pitch w:val="variable"/>
    <w:sig w:usb0="A00002FF" w:usb1="4000A06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9F2C" w14:textId="77777777" w:rsidR="00A71315" w:rsidRPr="004C00C6" w:rsidRDefault="006105BA">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00297CD7" w:rsidRPr="004C00C6">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FCA09" w14:textId="77777777" w:rsidR="003211E4" w:rsidRDefault="003211E4">
      <w:r>
        <w:separator/>
      </w:r>
    </w:p>
  </w:footnote>
  <w:footnote w:type="continuationSeparator" w:id="0">
    <w:p w14:paraId="37A48981" w14:textId="77777777" w:rsidR="003211E4" w:rsidRDefault="00321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0037" w14:textId="70D7A46B" w:rsidR="002A3072" w:rsidRDefault="00852C31">
    <w:r>
      <w:rPr>
        <w:noProof/>
        <w:sz w:val="2"/>
      </w:rPr>
      <mc:AlternateContent>
        <mc:Choice Requires="wps">
          <w:drawing>
            <wp:anchor distT="0" distB="0" distL="114300" distR="114300" simplePos="0" relativeHeight="251658241" behindDoc="0" locked="0" layoutInCell="1" allowOverlap="1" wp14:anchorId="1AEE0B34" wp14:editId="713A9E4B">
              <wp:simplePos x="0" y="0"/>
              <wp:positionH relativeFrom="margin">
                <wp:align>center</wp:align>
              </wp:positionH>
              <wp:positionV relativeFrom="margin">
                <wp:align>center</wp:align>
              </wp:positionV>
              <wp:extent cx="5390515" cy="1111250"/>
              <wp:effectExtent l="0" t="1457325" r="0" b="1527175"/>
              <wp:wrapNone/>
              <wp:docPr id="1720265420"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0515" cy="1111250"/>
                      </a:xfrm>
                      <a:prstGeom prst="rect">
                        <a:avLst/>
                      </a:prstGeom>
                    </wps:spPr>
                    <wps:txbx>
                      <w:txbxContent>
                        <w:p w14:paraId="4E73EDAF" w14:textId="77777777" w:rsidR="00852C31" w:rsidRDefault="00852C31" w:rsidP="00852C31">
                          <w:pPr>
                            <w:jc w:val="center"/>
                            <w:rPr>
                              <w:rFonts w:ascii="Verdana" w:eastAsia="Verdana" w:hAnsi="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pPr>
                          <w:r>
                            <w:rPr>
                              <w:rFonts w:ascii="Verdana" w:eastAsia="Verdana" w:hAnsi="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t>Non validée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EE0B34" id="_x0000_t202" coordsize="21600,21600" o:spt="202" path="m,l,21600r21600,l21600,xe">
              <v:stroke joinstyle="miter"/>
              <v:path gradientshapeok="t" o:connecttype="rect"/>
            </v:shapetype>
            <v:shape id="Zone de texte 1" o:spid="_x0000_s1027" type="#_x0000_t202" style="position:absolute;margin-left:0;margin-top:0;width:424.45pt;height:87.5pt;rotation:-45;z-index:25165824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" filled="f" stroked="f">
              <o:lock v:ext="edit" shapetype="t"/>
              <v:textbox style="mso-fit-shape-to-text:t">
                <w:txbxContent>
                  <w:p w14:paraId="4E73EDAF" w14:textId="77777777" w:rsidR="00852C31" w:rsidRDefault="00852C31" w:rsidP="00852C31">
                    <w:pPr>
                      <w:jc w:val="center"/>
                      <w:rPr>
                        <w:rFonts w:ascii="Verdana" w:eastAsia="Verdana" w:hAnsi="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pPr>
                    <w:r>
                      <w:rPr>
                        <w:rFonts w:ascii="Verdana" w:eastAsia="Verdana" w:hAnsi="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t>Non validée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E759" w14:textId="18B5244B" w:rsidR="00165F4D" w:rsidRDefault="006105BA">
    <w:pPr>
      <w:pStyle w:val="En-tte"/>
    </w:pPr>
    <w:r>
      <w:rPr>
        <w:noProof/>
      </w:rPr>
      <mc:AlternateContent>
        <mc:Choice Requires="wps">
          <w:drawing>
            <wp:anchor distT="0" distB="0" distL="114300" distR="114300" simplePos="0" relativeHeight="251658244"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938F8" w14:textId="5766E7A1" w:rsidR="00D90883" w:rsidRPr="008A3E7A" w:rsidRDefault="00E029AC" w:rsidP="00E87F81">
                          <w:pPr>
                            <w:jc w:val="center"/>
                            <w:rPr>
                              <w:rFonts w:ascii="Sto TT" w:hAnsi="Sto TT" w:cs="Arial"/>
                              <w:b/>
                              <w:sz w:val="23"/>
                              <w:szCs w:val="23"/>
                            </w:rPr>
                          </w:pPr>
                          <w:r w:rsidRPr="008A3E7A">
                            <w:rPr>
                              <w:rFonts w:ascii="Sto TT" w:hAnsi="Sto TT" w:cs="Arial"/>
                              <w:b/>
                              <w:sz w:val="23"/>
                              <w:szCs w:val="23"/>
                            </w:rPr>
                            <w:t xml:space="preserve">Descriptif type </w:t>
                          </w:r>
                          <w:r w:rsidR="00340628" w:rsidRPr="008A3E7A">
                            <w:rPr>
                              <w:rFonts w:ascii="Sto TT" w:hAnsi="Sto TT" w:cs="Arial"/>
                              <w:b/>
                              <w:sz w:val="23"/>
                              <w:szCs w:val="23"/>
                            </w:rPr>
                            <w:t>–</w:t>
                          </w:r>
                          <w:r w:rsidR="00F610DA" w:rsidRPr="008A3E7A">
                            <w:rPr>
                              <w:rFonts w:ascii="Sto TT" w:hAnsi="Sto TT" w:cs="Arial"/>
                              <w:b/>
                              <w:sz w:val="23"/>
                              <w:szCs w:val="23"/>
                            </w:rPr>
                            <w:t xml:space="preserve"> </w:t>
                          </w:r>
                          <w:proofErr w:type="spellStart"/>
                          <w:r w:rsidR="00D90883" w:rsidRPr="008A3E7A">
                            <w:rPr>
                              <w:rFonts w:ascii="Sto TT" w:hAnsi="Sto TT" w:cs="Arial"/>
                              <w:b/>
                              <w:sz w:val="23"/>
                              <w:szCs w:val="23"/>
                            </w:rPr>
                            <w:t>Sto</w:t>
                          </w:r>
                          <w:r w:rsidR="00340628" w:rsidRPr="008A3E7A">
                            <w:rPr>
                              <w:rFonts w:ascii="Sto TT" w:hAnsi="Sto TT" w:cs="Arial"/>
                              <w:b/>
                              <w:sz w:val="23"/>
                              <w:szCs w:val="23"/>
                            </w:rPr>
                            <w:t>Vente</w:t>
                          </w:r>
                          <w:r w:rsidR="007450E8" w:rsidRPr="008A3E7A">
                            <w:rPr>
                              <w:rFonts w:ascii="Sto TT" w:hAnsi="Sto TT" w:cs="Arial"/>
                              <w:b/>
                              <w:sz w:val="23"/>
                              <w:szCs w:val="23"/>
                            </w:rPr>
                            <w:t>c</w:t>
                          </w:r>
                          <w:proofErr w:type="spellEnd"/>
                          <w:r w:rsidR="007450E8" w:rsidRPr="008A3E7A">
                            <w:rPr>
                              <w:rFonts w:ascii="Sto TT" w:hAnsi="Sto TT" w:cs="Arial"/>
                              <w:b/>
                              <w:sz w:val="23"/>
                              <w:szCs w:val="23"/>
                            </w:rPr>
                            <w:t xml:space="preserve"> Fibre Ciment</w:t>
                          </w:r>
                        </w:p>
                        <w:p w14:paraId="6147779A" w14:textId="77777777" w:rsidR="00165F4D" w:rsidRPr="008A3E7A" w:rsidRDefault="00165F4D" w:rsidP="00E87F81">
                          <w:pPr>
                            <w:jc w:val="center"/>
                            <w:rPr>
                              <w:rFonts w:ascii="Sto TT" w:hAnsi="Sto TT" w:cs="Arial"/>
                              <w:sz w:val="32"/>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07ECA" id="_x0000_t202" coordsize="21600,21600" o:spt="202" path="m,l,21600r21600,l21600,xe">
              <v:stroke joinstyle="miter"/>
              <v:path gradientshapeok="t" o:connecttype="rect"/>
            </v:shapetype>
            <v:shape id="Text Box 15" o:spid="_x0000_s1028" type="#_x0000_t202" style="position:absolute;margin-left:-36.5pt;margin-top:-2.65pt;width:380.25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" filled="f" stroked="f">
              <v:textbox>
                <w:txbxContent>
                  <w:p w14:paraId="65C938F8" w14:textId="5766E7A1" w:rsidR="00D90883" w:rsidRPr="008A3E7A" w:rsidRDefault="00E029AC" w:rsidP="00E87F81">
                    <w:pPr>
                      <w:jc w:val="center"/>
                      <w:rPr>
                        <w:rFonts w:ascii="Sto TT" w:hAnsi="Sto TT" w:cs="Arial"/>
                        <w:b/>
                        <w:sz w:val="23"/>
                        <w:szCs w:val="23"/>
                      </w:rPr>
                    </w:pPr>
                    <w:r w:rsidRPr="008A3E7A">
                      <w:rPr>
                        <w:rFonts w:ascii="Sto TT" w:hAnsi="Sto TT" w:cs="Arial"/>
                        <w:b/>
                        <w:sz w:val="23"/>
                        <w:szCs w:val="23"/>
                      </w:rPr>
                      <w:t xml:space="preserve">Descriptif type </w:t>
                    </w:r>
                    <w:r w:rsidR="00340628" w:rsidRPr="008A3E7A">
                      <w:rPr>
                        <w:rFonts w:ascii="Sto TT" w:hAnsi="Sto TT" w:cs="Arial"/>
                        <w:b/>
                        <w:sz w:val="23"/>
                        <w:szCs w:val="23"/>
                      </w:rPr>
                      <w:t>–</w:t>
                    </w:r>
                    <w:r w:rsidR="00F610DA" w:rsidRPr="008A3E7A">
                      <w:rPr>
                        <w:rFonts w:ascii="Sto TT" w:hAnsi="Sto TT" w:cs="Arial"/>
                        <w:b/>
                        <w:sz w:val="23"/>
                        <w:szCs w:val="23"/>
                      </w:rPr>
                      <w:t xml:space="preserve"> </w:t>
                    </w:r>
                    <w:proofErr w:type="spellStart"/>
                    <w:r w:rsidR="00D90883" w:rsidRPr="008A3E7A">
                      <w:rPr>
                        <w:rFonts w:ascii="Sto TT" w:hAnsi="Sto TT" w:cs="Arial"/>
                        <w:b/>
                        <w:sz w:val="23"/>
                        <w:szCs w:val="23"/>
                      </w:rPr>
                      <w:t>Sto</w:t>
                    </w:r>
                    <w:r w:rsidR="00340628" w:rsidRPr="008A3E7A">
                      <w:rPr>
                        <w:rFonts w:ascii="Sto TT" w:hAnsi="Sto TT" w:cs="Arial"/>
                        <w:b/>
                        <w:sz w:val="23"/>
                        <w:szCs w:val="23"/>
                      </w:rPr>
                      <w:t>Vente</w:t>
                    </w:r>
                    <w:r w:rsidR="007450E8" w:rsidRPr="008A3E7A">
                      <w:rPr>
                        <w:rFonts w:ascii="Sto TT" w:hAnsi="Sto TT" w:cs="Arial"/>
                        <w:b/>
                        <w:sz w:val="23"/>
                        <w:szCs w:val="23"/>
                      </w:rPr>
                      <w:t>c</w:t>
                    </w:r>
                    <w:proofErr w:type="spellEnd"/>
                    <w:r w:rsidR="007450E8" w:rsidRPr="008A3E7A">
                      <w:rPr>
                        <w:rFonts w:ascii="Sto TT" w:hAnsi="Sto TT" w:cs="Arial"/>
                        <w:b/>
                        <w:sz w:val="23"/>
                        <w:szCs w:val="23"/>
                      </w:rPr>
                      <w:t xml:space="preserve"> Fibre Ciment</w:t>
                    </w:r>
                  </w:p>
                  <w:p w14:paraId="6147779A" w14:textId="77777777" w:rsidR="00165F4D" w:rsidRPr="008A3E7A" w:rsidRDefault="00165F4D" w:rsidP="00E87F81">
                    <w:pPr>
                      <w:jc w:val="center"/>
                      <w:rPr>
                        <w:rFonts w:ascii="Sto TT" w:hAnsi="Sto TT" w:cs="Arial"/>
                        <w:sz w:val="32"/>
                      </w:rPr>
                    </w:pPr>
                  </w:p>
                </w:txbxContent>
              </v:textbox>
            </v:shape>
          </w:pict>
        </mc:Fallback>
      </mc:AlternateContent>
    </w:r>
    <w:r w:rsidR="00CA5C06">
      <w:rPr>
        <w:noProof/>
      </w:rPr>
      <w:drawing>
        <wp:anchor distT="0" distB="0" distL="114300" distR="114300" simplePos="0" relativeHeight="251658246"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303B8" w14:textId="783E0146" w:rsidR="00EB2BA7" w:rsidRPr="00F80356" w:rsidRDefault="00F4581D" w:rsidP="00165F4D">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8240"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E15815" id="_x0000_t32" coordsize="21600,21600" o:spt="32" o:oned="t" path="m,l21600,21600e" filled="f">
              <v:path arrowok="t" fillok="f" o:connecttype="none"/>
              <o:lock v:ext="edit" shapetype="t"/>
            </v:shapetype>
            <v:shape id="AutoShape 4" o:spid="_x0000_s1026" type="#_x0000_t32"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strokecolor="#ffd700" strokeweight="1.5pt"/>
          </w:pict>
        </mc:Fallback>
      </mc:AlternateContent>
    </w:r>
    <w:r w:rsidR="006105BA" w:rsidRPr="00F80356">
      <w:tab/>
    </w:r>
  </w:p>
  <w:p w14:paraId="3F528123" w14:textId="336042A2" w:rsidR="00EB2BA7" w:rsidRPr="00F703E1" w:rsidRDefault="00EB2BA7">
    <w:pPr>
      <w:pStyle w:val="En-tte"/>
      <w:rPr>
        <w:u w:val="single"/>
      </w:rPr>
    </w:pPr>
  </w:p>
  <w:p w14:paraId="5B30E6A4" w14:textId="77777777" w:rsidR="005A3FC3" w:rsidRDefault="005A3FC3">
    <w:pPr>
      <w:pStyle w:val="En-tte"/>
    </w:pPr>
  </w:p>
  <w:p w14:paraId="7E0D13FD" w14:textId="77777777" w:rsidR="00E25643" w:rsidRDefault="00E2564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62DD" w14:textId="7D71F10B" w:rsidR="00F703E1" w:rsidRDefault="006105BA" w:rsidP="00F703E1">
    <w:pPr>
      <w:pStyle w:val="En-tte"/>
    </w:pPr>
    <w:r>
      <w:rPr>
        <w:noProof/>
      </w:rPr>
      <mc:AlternateContent>
        <mc:Choice Requires="wps">
          <w:drawing>
            <wp:anchor distT="0" distB="0" distL="114300" distR="114300" simplePos="0" relativeHeight="251658243"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BA681" w14:textId="0B932366" w:rsidR="00785B67" w:rsidRPr="008A3E7A" w:rsidRDefault="00943341" w:rsidP="00E87F81">
                          <w:pPr>
                            <w:jc w:val="center"/>
                            <w:rPr>
                              <w:rFonts w:ascii="Sto TT" w:hAnsi="Sto TT" w:cs="Arial"/>
                              <w:b/>
                              <w:sz w:val="23"/>
                              <w:szCs w:val="23"/>
                            </w:rPr>
                          </w:pPr>
                          <w:r w:rsidRPr="008A3E7A">
                            <w:rPr>
                              <w:rFonts w:ascii="Sto TT" w:hAnsi="Sto TT" w:cs="Arial"/>
                              <w:b/>
                              <w:sz w:val="23"/>
                              <w:szCs w:val="23"/>
                            </w:rPr>
                            <w:t>Descriptif type</w:t>
                          </w:r>
                          <w:r w:rsidR="00785B67" w:rsidRPr="008A3E7A">
                            <w:rPr>
                              <w:rFonts w:ascii="Sto TT" w:hAnsi="Sto TT" w:cs="Arial"/>
                              <w:b/>
                              <w:sz w:val="23"/>
                              <w:szCs w:val="23"/>
                            </w:rPr>
                            <w:t xml:space="preserve"> </w:t>
                          </w:r>
                          <w:r w:rsidR="00340628" w:rsidRPr="008A3E7A">
                            <w:rPr>
                              <w:rFonts w:ascii="Sto TT" w:hAnsi="Sto TT" w:cs="Arial"/>
                              <w:b/>
                              <w:sz w:val="23"/>
                              <w:szCs w:val="23"/>
                            </w:rPr>
                            <w:t>–</w:t>
                          </w:r>
                          <w:r w:rsidR="00785B67" w:rsidRPr="008A3E7A">
                            <w:rPr>
                              <w:rFonts w:ascii="Sto TT" w:hAnsi="Sto TT" w:cs="Arial"/>
                              <w:b/>
                              <w:sz w:val="23"/>
                              <w:szCs w:val="23"/>
                            </w:rPr>
                            <w:t xml:space="preserve"> </w:t>
                          </w:r>
                          <w:proofErr w:type="spellStart"/>
                          <w:r w:rsidR="007450E8" w:rsidRPr="008A3E7A">
                            <w:rPr>
                              <w:rFonts w:ascii="Sto TT" w:hAnsi="Sto TT" w:cs="Arial"/>
                              <w:b/>
                              <w:sz w:val="23"/>
                              <w:szCs w:val="23"/>
                            </w:rPr>
                            <w:t>StoVentec</w:t>
                          </w:r>
                          <w:proofErr w:type="spellEnd"/>
                          <w:r w:rsidR="007450E8" w:rsidRPr="008A3E7A">
                            <w:rPr>
                              <w:rFonts w:ascii="Sto TT" w:hAnsi="Sto TT" w:cs="Arial"/>
                              <w:b/>
                              <w:sz w:val="23"/>
                              <w:szCs w:val="23"/>
                            </w:rPr>
                            <w:t xml:space="preserve"> Fibre Ciment</w:t>
                          </w:r>
                        </w:p>
                        <w:p w14:paraId="3D0C4E46" w14:textId="39289011" w:rsidR="009E3037" w:rsidRPr="008A3E7A" w:rsidRDefault="009E3037" w:rsidP="00E87F81">
                          <w:pPr>
                            <w:jc w:val="center"/>
                            <w:rPr>
                              <w:rFonts w:ascii="Sto TT" w:hAnsi="Sto TT" w:cs="Arial"/>
                              <w:b/>
                              <w:sz w:val="32"/>
                              <w:szCs w:val="32"/>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72D87" id="_x0000_t202" coordsize="21600,21600" o:spt="202" path="m,l,21600r21600,l21600,xe">
              <v:stroke joinstyle="miter"/>
              <v:path gradientshapeok="t" o:connecttype="rect"/>
            </v:shapetype>
            <v:shape id="Zone de texte 2" o:spid="_x0000_s1029" type="#_x0000_t202" style="position:absolute;margin-left:-46.3pt;margin-top:2.25pt;width:392.25pt;height:2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LFPSZ3LAQAAdAMAAA4AAAAA&#10;AAAAAAAAAAAALgIAAGRycy9lMm9Eb2MueG1sUEsBAi0AFAAGAAgAAAAhAHBUbr/dAAAACAEAAA8A&#10;AAAAAAAAAAAAAAAAJQQAAGRycy9kb3ducmV2LnhtbFBLBQYAAAAABAAEAPMAAAAvBQAAAAA=&#10;" filled="f" stroked="f">
              <v:textbox>
                <w:txbxContent>
                  <w:p w14:paraId="642BA681" w14:textId="0B932366" w:rsidR="00785B67" w:rsidRPr="008A3E7A" w:rsidRDefault="00943341" w:rsidP="00E87F81">
                    <w:pPr>
                      <w:jc w:val="center"/>
                      <w:rPr>
                        <w:rFonts w:ascii="Sto TT" w:hAnsi="Sto TT" w:cs="Arial"/>
                        <w:b/>
                        <w:sz w:val="23"/>
                        <w:szCs w:val="23"/>
                      </w:rPr>
                    </w:pPr>
                    <w:r w:rsidRPr="008A3E7A">
                      <w:rPr>
                        <w:rFonts w:ascii="Sto TT" w:hAnsi="Sto TT" w:cs="Arial"/>
                        <w:b/>
                        <w:sz w:val="23"/>
                        <w:szCs w:val="23"/>
                      </w:rPr>
                      <w:t>Descriptif type</w:t>
                    </w:r>
                    <w:r w:rsidR="00785B67" w:rsidRPr="008A3E7A">
                      <w:rPr>
                        <w:rFonts w:ascii="Sto TT" w:hAnsi="Sto TT" w:cs="Arial"/>
                        <w:b/>
                        <w:sz w:val="23"/>
                        <w:szCs w:val="23"/>
                      </w:rPr>
                      <w:t xml:space="preserve"> </w:t>
                    </w:r>
                    <w:r w:rsidR="00340628" w:rsidRPr="008A3E7A">
                      <w:rPr>
                        <w:rFonts w:ascii="Sto TT" w:hAnsi="Sto TT" w:cs="Arial"/>
                        <w:b/>
                        <w:sz w:val="23"/>
                        <w:szCs w:val="23"/>
                      </w:rPr>
                      <w:t>–</w:t>
                    </w:r>
                    <w:r w:rsidR="00785B67" w:rsidRPr="008A3E7A">
                      <w:rPr>
                        <w:rFonts w:ascii="Sto TT" w:hAnsi="Sto TT" w:cs="Arial"/>
                        <w:b/>
                        <w:sz w:val="23"/>
                        <w:szCs w:val="23"/>
                      </w:rPr>
                      <w:t xml:space="preserve"> </w:t>
                    </w:r>
                    <w:proofErr w:type="spellStart"/>
                    <w:r w:rsidR="007450E8" w:rsidRPr="008A3E7A">
                      <w:rPr>
                        <w:rFonts w:ascii="Sto TT" w:hAnsi="Sto TT" w:cs="Arial"/>
                        <w:b/>
                        <w:sz w:val="23"/>
                        <w:szCs w:val="23"/>
                      </w:rPr>
                      <w:t>StoVentec</w:t>
                    </w:r>
                    <w:proofErr w:type="spellEnd"/>
                    <w:r w:rsidR="007450E8" w:rsidRPr="008A3E7A">
                      <w:rPr>
                        <w:rFonts w:ascii="Sto TT" w:hAnsi="Sto TT" w:cs="Arial"/>
                        <w:b/>
                        <w:sz w:val="23"/>
                        <w:szCs w:val="23"/>
                      </w:rPr>
                      <w:t xml:space="preserve"> Fibre Ciment</w:t>
                    </w:r>
                  </w:p>
                  <w:p w14:paraId="3D0C4E46" w14:textId="39289011" w:rsidR="009E3037" w:rsidRPr="008A3E7A" w:rsidRDefault="009E3037" w:rsidP="00E87F81">
                    <w:pPr>
                      <w:jc w:val="center"/>
                      <w:rPr>
                        <w:rFonts w:ascii="Sto TT" w:hAnsi="Sto TT" w:cs="Arial"/>
                        <w:b/>
                        <w:sz w:val="32"/>
                        <w:szCs w:val="32"/>
                      </w:rPr>
                    </w:pPr>
                  </w:p>
                </w:txbxContent>
              </v:textbox>
            </v:shape>
          </w:pict>
        </mc:Fallback>
      </mc:AlternateContent>
    </w:r>
    <w:r w:rsidR="00CA5C06">
      <w:rPr>
        <w:noProof/>
      </w:rPr>
      <w:drawing>
        <wp:anchor distT="0" distB="0" distL="114300" distR="114300" simplePos="0" relativeHeight="251658245"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BA4C7" w14:textId="17391DB2" w:rsidR="00F703E1" w:rsidRPr="00EB2BA7" w:rsidRDefault="00F5582E" w:rsidP="00F703E1">
    <w:pPr>
      <w:pStyle w:val="En-tte"/>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58242" behindDoc="0" locked="0" layoutInCell="1" allowOverlap="1" wp14:anchorId="4085A073" wp14:editId="36009A3C">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C936D5" id="_x0000_t32" coordsize="21600,21600" o:spt="32" o:oned="t" path="m,l21600,21600e" filled="f">
              <v:path arrowok="t" fillok="f" o:connecttype="none"/>
              <o:lock v:ext="edit" shapetype="t"/>
            </v:shapetype>
            <v:shape id="AutoShape 9" o:spid="_x0000_s1026" type="#_x0000_t32"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strokecolor="#ffd700" strokeweight="1.5pt"/>
          </w:pict>
        </mc:Fallback>
      </mc:AlternateContent>
    </w:r>
    <w:r w:rsidR="006105BA">
      <w:tab/>
    </w:r>
  </w:p>
  <w:p w14:paraId="29CD6719" w14:textId="228AF570" w:rsidR="00F703E1" w:rsidRPr="008F7DFD" w:rsidRDefault="00F703E1">
    <w:pPr>
      <w:pStyle w:val="En-tte"/>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7CE8"/>
    <w:multiLevelType w:val="multilevel"/>
    <w:tmpl w:val="2BA6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107B59"/>
    <w:multiLevelType w:val="hybridMultilevel"/>
    <w:tmpl w:val="B45A6D88"/>
    <w:lvl w:ilvl="0" w:tplc="04090005">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2" w15:restartNumberingAfterBreak="0">
    <w:nsid w:val="16BC57C3"/>
    <w:multiLevelType w:val="hybridMultilevel"/>
    <w:tmpl w:val="29B2F2F6"/>
    <w:lvl w:ilvl="0" w:tplc="040C0005">
      <w:start w:val="1"/>
      <w:numFmt w:val="bullet"/>
      <w:lvlText w:val=""/>
      <w:lvlJc w:val="left"/>
      <w:pPr>
        <w:ind w:left="11" w:hanging="360"/>
      </w:pPr>
      <w:rPr>
        <w:rFonts w:ascii="Wingdings" w:hAnsi="Wingdings" w:hint="default"/>
      </w:rPr>
    </w:lvl>
    <w:lvl w:ilvl="1" w:tplc="040C0003">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 w15:restartNumberingAfterBreak="0">
    <w:nsid w:val="17566E62"/>
    <w:multiLevelType w:val="hybridMultilevel"/>
    <w:tmpl w:val="C8AC033A"/>
    <w:lvl w:ilvl="0" w:tplc="04090005">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4" w15:restartNumberingAfterBreak="0">
    <w:nsid w:val="270D4923"/>
    <w:multiLevelType w:val="hybridMultilevel"/>
    <w:tmpl w:val="EC3C69AE"/>
    <w:lvl w:ilvl="0" w:tplc="D9EA88FE">
      <w:numFmt w:val="bullet"/>
      <w:lvlText w:val="-"/>
      <w:lvlJc w:val="left"/>
      <w:pPr>
        <w:ind w:left="720" w:hanging="360"/>
      </w:pPr>
      <w:rPr>
        <w:rFonts w:ascii="Sto TT" w:eastAsia="Verdana" w:hAnsi="Sto T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382CDD"/>
    <w:multiLevelType w:val="hybridMultilevel"/>
    <w:tmpl w:val="8B108388"/>
    <w:lvl w:ilvl="0" w:tplc="E1366D04">
      <w:numFmt w:val="bullet"/>
      <w:lvlText w:val="-"/>
      <w:lvlJc w:val="left"/>
      <w:pPr>
        <w:ind w:left="-349" w:hanging="360"/>
      </w:pPr>
      <w:rPr>
        <w:rFonts w:ascii="Arial" w:eastAsia="Verdana" w:hAnsi="Arial" w:cs="Arial"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6" w15:restartNumberingAfterBreak="0">
    <w:nsid w:val="33FF6956"/>
    <w:multiLevelType w:val="hybridMultilevel"/>
    <w:tmpl w:val="9F7A930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7" w15:restartNumberingAfterBreak="0">
    <w:nsid w:val="38D57455"/>
    <w:multiLevelType w:val="hybridMultilevel"/>
    <w:tmpl w:val="73BC833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8" w15:restartNumberingAfterBreak="0">
    <w:nsid w:val="3924494C"/>
    <w:multiLevelType w:val="hybridMultilevel"/>
    <w:tmpl w:val="478A0D8C"/>
    <w:lvl w:ilvl="0" w:tplc="040C0005">
      <w:start w:val="1"/>
      <w:numFmt w:val="bullet"/>
      <w:lvlText w:val=""/>
      <w:lvlJc w:val="left"/>
      <w:pPr>
        <w:ind w:left="11" w:hanging="360"/>
      </w:pPr>
      <w:rPr>
        <w:rFonts w:ascii="Wingdings" w:hAnsi="Wingdings" w:hint="default"/>
      </w:rPr>
    </w:lvl>
    <w:lvl w:ilvl="1" w:tplc="040C0003">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15:restartNumberingAfterBreak="0">
    <w:nsid w:val="3AB3257F"/>
    <w:multiLevelType w:val="hybridMultilevel"/>
    <w:tmpl w:val="72908B78"/>
    <w:lvl w:ilvl="0" w:tplc="04090005">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0" w15:restartNumberingAfterBreak="0">
    <w:nsid w:val="563330BF"/>
    <w:multiLevelType w:val="hybridMultilevel"/>
    <w:tmpl w:val="60C03846"/>
    <w:lvl w:ilvl="0" w:tplc="040C0005">
      <w:start w:val="1"/>
      <w:numFmt w:val="bullet"/>
      <w:lvlText w:val=""/>
      <w:lvlJc w:val="left"/>
      <w:pPr>
        <w:ind w:left="11" w:hanging="360"/>
      </w:pPr>
      <w:rPr>
        <w:rFonts w:ascii="Wingdings" w:hAnsi="Wingdings" w:hint="default"/>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11" w15:restartNumberingAfterBreak="0">
    <w:nsid w:val="57231048"/>
    <w:multiLevelType w:val="hybridMultilevel"/>
    <w:tmpl w:val="6A5478C2"/>
    <w:lvl w:ilvl="0" w:tplc="040C0005">
      <w:start w:val="1"/>
      <w:numFmt w:val="bullet"/>
      <w:lvlText w:val=""/>
      <w:lvlJc w:val="left"/>
      <w:pPr>
        <w:ind w:left="11" w:hanging="360"/>
      </w:pPr>
      <w:rPr>
        <w:rFonts w:ascii="Wingdings" w:hAnsi="Wingdings" w:hint="default"/>
      </w:rPr>
    </w:lvl>
    <w:lvl w:ilvl="1" w:tplc="040C0003">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2" w15:restartNumberingAfterBreak="0">
    <w:nsid w:val="5F225547"/>
    <w:multiLevelType w:val="hybridMultilevel"/>
    <w:tmpl w:val="7D90696A"/>
    <w:lvl w:ilvl="0" w:tplc="04090005">
      <w:start w:val="1"/>
      <w:numFmt w:val="bullet"/>
      <w:lvlText w:val=""/>
      <w:lvlJc w:val="left"/>
      <w:pPr>
        <w:ind w:left="11" w:hanging="360"/>
      </w:pPr>
      <w:rPr>
        <w:rFonts w:ascii="Wingdings" w:hAnsi="Wingdings"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3" w15:restartNumberingAfterBreak="0">
    <w:nsid w:val="67880703"/>
    <w:multiLevelType w:val="hybridMultilevel"/>
    <w:tmpl w:val="BD4A57FA"/>
    <w:lvl w:ilvl="0" w:tplc="8A52DEA4">
      <w:numFmt w:val="bullet"/>
      <w:lvlText w:val="-"/>
      <w:lvlJc w:val="left"/>
      <w:pPr>
        <w:ind w:left="720" w:hanging="360"/>
      </w:pPr>
      <w:rPr>
        <w:rFonts w:ascii="Sto TT" w:eastAsia="Verdana" w:hAnsi="Sto T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6520D5"/>
    <w:multiLevelType w:val="hybridMultilevel"/>
    <w:tmpl w:val="70D2B596"/>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5"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16" w15:restartNumberingAfterBreak="0">
    <w:nsid w:val="7D7C4FEE"/>
    <w:multiLevelType w:val="hybridMultilevel"/>
    <w:tmpl w:val="5CA0BAA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7" w15:restartNumberingAfterBreak="0">
    <w:nsid w:val="7DAB4EB8"/>
    <w:multiLevelType w:val="hybridMultilevel"/>
    <w:tmpl w:val="61603A3A"/>
    <w:lvl w:ilvl="0" w:tplc="0409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16cid:durableId="1943879205">
    <w:abstractNumId w:val="15"/>
  </w:num>
  <w:num w:numId="2" w16cid:durableId="1993824317">
    <w:abstractNumId w:val="14"/>
  </w:num>
  <w:num w:numId="3" w16cid:durableId="167985745">
    <w:abstractNumId w:val="5"/>
  </w:num>
  <w:num w:numId="4" w16cid:durableId="613904556">
    <w:abstractNumId w:val="7"/>
  </w:num>
  <w:num w:numId="5" w16cid:durableId="640040045">
    <w:abstractNumId w:val="11"/>
  </w:num>
  <w:num w:numId="6" w16cid:durableId="1253317004">
    <w:abstractNumId w:val="6"/>
  </w:num>
  <w:num w:numId="7" w16cid:durableId="1239747839">
    <w:abstractNumId w:val="8"/>
  </w:num>
  <w:num w:numId="8" w16cid:durableId="1788163522">
    <w:abstractNumId w:val="2"/>
  </w:num>
  <w:num w:numId="9" w16cid:durableId="1186021481">
    <w:abstractNumId w:val="10"/>
  </w:num>
  <w:num w:numId="10" w16cid:durableId="782574813">
    <w:abstractNumId w:val="16"/>
  </w:num>
  <w:num w:numId="11" w16cid:durableId="32275306">
    <w:abstractNumId w:val="0"/>
  </w:num>
  <w:num w:numId="12" w16cid:durableId="1772434444">
    <w:abstractNumId w:val="17"/>
  </w:num>
  <w:num w:numId="13" w16cid:durableId="1509055007">
    <w:abstractNumId w:val="3"/>
  </w:num>
  <w:num w:numId="14" w16cid:durableId="1003239719">
    <w:abstractNumId w:val="12"/>
  </w:num>
  <w:num w:numId="15" w16cid:durableId="1982298815">
    <w:abstractNumId w:val="9"/>
  </w:num>
  <w:num w:numId="16" w16cid:durableId="2004161183">
    <w:abstractNumId w:val="1"/>
  </w:num>
  <w:num w:numId="17" w16cid:durableId="118690425">
    <w:abstractNumId w:val="4"/>
  </w:num>
  <w:num w:numId="18" w16cid:durableId="670256027">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039E3"/>
    <w:rsid w:val="00004642"/>
    <w:rsid w:val="00012918"/>
    <w:rsid w:val="000135D4"/>
    <w:rsid w:val="00014DFD"/>
    <w:rsid w:val="000151E1"/>
    <w:rsid w:val="0001754E"/>
    <w:rsid w:val="00020950"/>
    <w:rsid w:val="00021029"/>
    <w:rsid w:val="00021128"/>
    <w:rsid w:val="0002277D"/>
    <w:rsid w:val="00024936"/>
    <w:rsid w:val="00024D4E"/>
    <w:rsid w:val="000254CE"/>
    <w:rsid w:val="00027322"/>
    <w:rsid w:val="000275F1"/>
    <w:rsid w:val="00031B2B"/>
    <w:rsid w:val="00032186"/>
    <w:rsid w:val="00032423"/>
    <w:rsid w:val="00032EA4"/>
    <w:rsid w:val="0003327B"/>
    <w:rsid w:val="000337DA"/>
    <w:rsid w:val="000340B4"/>
    <w:rsid w:val="00034BA6"/>
    <w:rsid w:val="00034E91"/>
    <w:rsid w:val="00035C31"/>
    <w:rsid w:val="0003707D"/>
    <w:rsid w:val="000427EC"/>
    <w:rsid w:val="000439D5"/>
    <w:rsid w:val="0004424F"/>
    <w:rsid w:val="00044682"/>
    <w:rsid w:val="00045142"/>
    <w:rsid w:val="000506B6"/>
    <w:rsid w:val="0005079B"/>
    <w:rsid w:val="00050EE7"/>
    <w:rsid w:val="0005183F"/>
    <w:rsid w:val="000526F1"/>
    <w:rsid w:val="00052725"/>
    <w:rsid w:val="0005423E"/>
    <w:rsid w:val="0005537B"/>
    <w:rsid w:val="00060984"/>
    <w:rsid w:val="00060B57"/>
    <w:rsid w:val="00061F8B"/>
    <w:rsid w:val="00063883"/>
    <w:rsid w:val="00066B61"/>
    <w:rsid w:val="00066C90"/>
    <w:rsid w:val="00066DEB"/>
    <w:rsid w:val="00067B5E"/>
    <w:rsid w:val="0007011A"/>
    <w:rsid w:val="00071B76"/>
    <w:rsid w:val="00072F89"/>
    <w:rsid w:val="0007441A"/>
    <w:rsid w:val="00076898"/>
    <w:rsid w:val="00076CA2"/>
    <w:rsid w:val="00080DC9"/>
    <w:rsid w:val="000812A3"/>
    <w:rsid w:val="00082ADA"/>
    <w:rsid w:val="00083301"/>
    <w:rsid w:val="00084E1B"/>
    <w:rsid w:val="00085859"/>
    <w:rsid w:val="00085DB4"/>
    <w:rsid w:val="00087857"/>
    <w:rsid w:val="00087BB0"/>
    <w:rsid w:val="00087BBF"/>
    <w:rsid w:val="00087D81"/>
    <w:rsid w:val="00090DB1"/>
    <w:rsid w:val="00092534"/>
    <w:rsid w:val="0009310D"/>
    <w:rsid w:val="000962CA"/>
    <w:rsid w:val="000964C0"/>
    <w:rsid w:val="000A0372"/>
    <w:rsid w:val="000A13A4"/>
    <w:rsid w:val="000A19E3"/>
    <w:rsid w:val="000A47BD"/>
    <w:rsid w:val="000A4A03"/>
    <w:rsid w:val="000A7353"/>
    <w:rsid w:val="000A79ED"/>
    <w:rsid w:val="000B0310"/>
    <w:rsid w:val="000B0C61"/>
    <w:rsid w:val="000B2623"/>
    <w:rsid w:val="000B2DC3"/>
    <w:rsid w:val="000B3DAB"/>
    <w:rsid w:val="000B43F9"/>
    <w:rsid w:val="000B54DD"/>
    <w:rsid w:val="000B57FB"/>
    <w:rsid w:val="000B784B"/>
    <w:rsid w:val="000B7BD6"/>
    <w:rsid w:val="000C1932"/>
    <w:rsid w:val="000C1F55"/>
    <w:rsid w:val="000C27DF"/>
    <w:rsid w:val="000C50AA"/>
    <w:rsid w:val="000D0FAD"/>
    <w:rsid w:val="000D1114"/>
    <w:rsid w:val="000D16DB"/>
    <w:rsid w:val="000D22D8"/>
    <w:rsid w:val="000D2C91"/>
    <w:rsid w:val="000D5D4D"/>
    <w:rsid w:val="000D62EF"/>
    <w:rsid w:val="000D6B23"/>
    <w:rsid w:val="000D6EC2"/>
    <w:rsid w:val="000E0F4C"/>
    <w:rsid w:val="000E161D"/>
    <w:rsid w:val="000E193C"/>
    <w:rsid w:val="000E1B24"/>
    <w:rsid w:val="000E265A"/>
    <w:rsid w:val="000E3400"/>
    <w:rsid w:val="000E4B20"/>
    <w:rsid w:val="000E5406"/>
    <w:rsid w:val="000E6B51"/>
    <w:rsid w:val="000F0815"/>
    <w:rsid w:val="000F2A4E"/>
    <w:rsid w:val="000F2BDC"/>
    <w:rsid w:val="000F3411"/>
    <w:rsid w:val="000F377F"/>
    <w:rsid w:val="000F5592"/>
    <w:rsid w:val="000F67D1"/>
    <w:rsid w:val="000F6AC6"/>
    <w:rsid w:val="00101088"/>
    <w:rsid w:val="00102C94"/>
    <w:rsid w:val="001038DD"/>
    <w:rsid w:val="001050EB"/>
    <w:rsid w:val="00110146"/>
    <w:rsid w:val="0011159D"/>
    <w:rsid w:val="001117ED"/>
    <w:rsid w:val="00112B62"/>
    <w:rsid w:val="00114462"/>
    <w:rsid w:val="0011472F"/>
    <w:rsid w:val="00115EE7"/>
    <w:rsid w:val="001205D6"/>
    <w:rsid w:val="0012625F"/>
    <w:rsid w:val="00127084"/>
    <w:rsid w:val="00127712"/>
    <w:rsid w:val="0013004B"/>
    <w:rsid w:val="00130351"/>
    <w:rsid w:val="001303D1"/>
    <w:rsid w:val="00132234"/>
    <w:rsid w:val="00133F48"/>
    <w:rsid w:val="0013412B"/>
    <w:rsid w:val="00134844"/>
    <w:rsid w:val="00135AA1"/>
    <w:rsid w:val="00135B6C"/>
    <w:rsid w:val="00137A0B"/>
    <w:rsid w:val="00141DA5"/>
    <w:rsid w:val="00144893"/>
    <w:rsid w:val="0014498A"/>
    <w:rsid w:val="00144B3F"/>
    <w:rsid w:val="0014533E"/>
    <w:rsid w:val="00146D9D"/>
    <w:rsid w:val="00146E28"/>
    <w:rsid w:val="001536D2"/>
    <w:rsid w:val="00154EB5"/>
    <w:rsid w:val="0015560C"/>
    <w:rsid w:val="00155DC4"/>
    <w:rsid w:val="00156060"/>
    <w:rsid w:val="00157EE4"/>
    <w:rsid w:val="00161B78"/>
    <w:rsid w:val="001637B9"/>
    <w:rsid w:val="00163BE0"/>
    <w:rsid w:val="00165F4D"/>
    <w:rsid w:val="00166985"/>
    <w:rsid w:val="00166D0A"/>
    <w:rsid w:val="001675EA"/>
    <w:rsid w:val="00167BCE"/>
    <w:rsid w:val="00170FCD"/>
    <w:rsid w:val="0017270E"/>
    <w:rsid w:val="00175475"/>
    <w:rsid w:val="001757FD"/>
    <w:rsid w:val="00176A72"/>
    <w:rsid w:val="0018242F"/>
    <w:rsid w:val="001838CD"/>
    <w:rsid w:val="00184209"/>
    <w:rsid w:val="001846E2"/>
    <w:rsid w:val="00184B60"/>
    <w:rsid w:val="0018558E"/>
    <w:rsid w:val="001871AB"/>
    <w:rsid w:val="001876A9"/>
    <w:rsid w:val="00187C2F"/>
    <w:rsid w:val="00187D99"/>
    <w:rsid w:val="001902C6"/>
    <w:rsid w:val="00190D13"/>
    <w:rsid w:val="00190D27"/>
    <w:rsid w:val="00191EE9"/>
    <w:rsid w:val="00193D21"/>
    <w:rsid w:val="00195EDF"/>
    <w:rsid w:val="001966CA"/>
    <w:rsid w:val="00196C27"/>
    <w:rsid w:val="001A1A69"/>
    <w:rsid w:val="001A2456"/>
    <w:rsid w:val="001A3AD2"/>
    <w:rsid w:val="001A4871"/>
    <w:rsid w:val="001A5F3B"/>
    <w:rsid w:val="001A6B93"/>
    <w:rsid w:val="001A6E4F"/>
    <w:rsid w:val="001A743C"/>
    <w:rsid w:val="001B3F61"/>
    <w:rsid w:val="001B5090"/>
    <w:rsid w:val="001B6A77"/>
    <w:rsid w:val="001B775F"/>
    <w:rsid w:val="001C2274"/>
    <w:rsid w:val="001C245C"/>
    <w:rsid w:val="001C4564"/>
    <w:rsid w:val="001C4679"/>
    <w:rsid w:val="001C5685"/>
    <w:rsid w:val="001C57DA"/>
    <w:rsid w:val="001C69D2"/>
    <w:rsid w:val="001C730C"/>
    <w:rsid w:val="001D1530"/>
    <w:rsid w:val="001D17F0"/>
    <w:rsid w:val="001D201E"/>
    <w:rsid w:val="001D2142"/>
    <w:rsid w:val="001D2FDD"/>
    <w:rsid w:val="001D3E20"/>
    <w:rsid w:val="001D73E7"/>
    <w:rsid w:val="001E08D4"/>
    <w:rsid w:val="001E0B35"/>
    <w:rsid w:val="001E312F"/>
    <w:rsid w:val="001E35FB"/>
    <w:rsid w:val="001E4144"/>
    <w:rsid w:val="001E5400"/>
    <w:rsid w:val="001E60D9"/>
    <w:rsid w:val="001E627B"/>
    <w:rsid w:val="001E748E"/>
    <w:rsid w:val="001F091F"/>
    <w:rsid w:val="001F1128"/>
    <w:rsid w:val="001F1256"/>
    <w:rsid w:val="001F4C39"/>
    <w:rsid w:val="001F4D01"/>
    <w:rsid w:val="001F50EF"/>
    <w:rsid w:val="001F5952"/>
    <w:rsid w:val="001F5FB6"/>
    <w:rsid w:val="001F6201"/>
    <w:rsid w:val="001F6C03"/>
    <w:rsid w:val="00200541"/>
    <w:rsid w:val="002015B7"/>
    <w:rsid w:val="00202283"/>
    <w:rsid w:val="002036BA"/>
    <w:rsid w:val="00205654"/>
    <w:rsid w:val="002062FB"/>
    <w:rsid w:val="00206B88"/>
    <w:rsid w:val="00206C6E"/>
    <w:rsid w:val="002074AB"/>
    <w:rsid w:val="002074FD"/>
    <w:rsid w:val="002103E8"/>
    <w:rsid w:val="002105FA"/>
    <w:rsid w:val="00211860"/>
    <w:rsid w:val="00211ECA"/>
    <w:rsid w:val="00212A55"/>
    <w:rsid w:val="00212AB1"/>
    <w:rsid w:val="002134C6"/>
    <w:rsid w:val="00213FEF"/>
    <w:rsid w:val="00215B9C"/>
    <w:rsid w:val="002165C4"/>
    <w:rsid w:val="00217EA2"/>
    <w:rsid w:val="00223EA2"/>
    <w:rsid w:val="00225ACC"/>
    <w:rsid w:val="002267E3"/>
    <w:rsid w:val="0023033E"/>
    <w:rsid w:val="0023267A"/>
    <w:rsid w:val="00232FD3"/>
    <w:rsid w:val="002331BE"/>
    <w:rsid w:val="00233DA4"/>
    <w:rsid w:val="002345BB"/>
    <w:rsid w:val="0023540F"/>
    <w:rsid w:val="00240C82"/>
    <w:rsid w:val="00242AAE"/>
    <w:rsid w:val="00243B23"/>
    <w:rsid w:val="0024617E"/>
    <w:rsid w:val="0025359F"/>
    <w:rsid w:val="0025378D"/>
    <w:rsid w:val="00254DD1"/>
    <w:rsid w:val="002571DF"/>
    <w:rsid w:val="002602E6"/>
    <w:rsid w:val="00260EA3"/>
    <w:rsid w:val="0026141E"/>
    <w:rsid w:val="002615C0"/>
    <w:rsid w:val="00261CA4"/>
    <w:rsid w:val="00263CD4"/>
    <w:rsid w:val="0026400A"/>
    <w:rsid w:val="002655A4"/>
    <w:rsid w:val="00265D64"/>
    <w:rsid w:val="0026626C"/>
    <w:rsid w:val="00270636"/>
    <w:rsid w:val="002711E6"/>
    <w:rsid w:val="00272E8E"/>
    <w:rsid w:val="0027337B"/>
    <w:rsid w:val="00273445"/>
    <w:rsid w:val="002754C1"/>
    <w:rsid w:val="002755CC"/>
    <w:rsid w:val="00276521"/>
    <w:rsid w:val="00280346"/>
    <w:rsid w:val="00281135"/>
    <w:rsid w:val="00281332"/>
    <w:rsid w:val="002813F5"/>
    <w:rsid w:val="00281E17"/>
    <w:rsid w:val="002825FF"/>
    <w:rsid w:val="002871E5"/>
    <w:rsid w:val="002902B5"/>
    <w:rsid w:val="002929C2"/>
    <w:rsid w:val="002938FA"/>
    <w:rsid w:val="002957FF"/>
    <w:rsid w:val="0029768F"/>
    <w:rsid w:val="00297CD7"/>
    <w:rsid w:val="002A0361"/>
    <w:rsid w:val="002A03C2"/>
    <w:rsid w:val="002A0677"/>
    <w:rsid w:val="002A09C6"/>
    <w:rsid w:val="002A0C52"/>
    <w:rsid w:val="002A3072"/>
    <w:rsid w:val="002A5236"/>
    <w:rsid w:val="002A5FC9"/>
    <w:rsid w:val="002A65E1"/>
    <w:rsid w:val="002A7B01"/>
    <w:rsid w:val="002A7FA8"/>
    <w:rsid w:val="002B0940"/>
    <w:rsid w:val="002B1A87"/>
    <w:rsid w:val="002B234B"/>
    <w:rsid w:val="002B2E0E"/>
    <w:rsid w:val="002B420C"/>
    <w:rsid w:val="002B42B7"/>
    <w:rsid w:val="002B4C63"/>
    <w:rsid w:val="002C25EF"/>
    <w:rsid w:val="002C28AE"/>
    <w:rsid w:val="002C42C1"/>
    <w:rsid w:val="002C5CB0"/>
    <w:rsid w:val="002C5F9D"/>
    <w:rsid w:val="002C6C8D"/>
    <w:rsid w:val="002C7741"/>
    <w:rsid w:val="002D1FCD"/>
    <w:rsid w:val="002D2C56"/>
    <w:rsid w:val="002D5151"/>
    <w:rsid w:val="002D5ADA"/>
    <w:rsid w:val="002D6103"/>
    <w:rsid w:val="002D6191"/>
    <w:rsid w:val="002D62C6"/>
    <w:rsid w:val="002D73E7"/>
    <w:rsid w:val="002E02DC"/>
    <w:rsid w:val="002E1BC2"/>
    <w:rsid w:val="002E2296"/>
    <w:rsid w:val="002E4051"/>
    <w:rsid w:val="002E428D"/>
    <w:rsid w:val="002E49A0"/>
    <w:rsid w:val="002E4F36"/>
    <w:rsid w:val="002E79D5"/>
    <w:rsid w:val="002F000B"/>
    <w:rsid w:val="002F2980"/>
    <w:rsid w:val="002F4314"/>
    <w:rsid w:val="002F61AB"/>
    <w:rsid w:val="002F7240"/>
    <w:rsid w:val="002F767E"/>
    <w:rsid w:val="0030033A"/>
    <w:rsid w:val="00301092"/>
    <w:rsid w:val="003019F4"/>
    <w:rsid w:val="003023E5"/>
    <w:rsid w:val="003025E8"/>
    <w:rsid w:val="0030285A"/>
    <w:rsid w:val="00303B95"/>
    <w:rsid w:val="00304396"/>
    <w:rsid w:val="0030594B"/>
    <w:rsid w:val="003072B3"/>
    <w:rsid w:val="00310273"/>
    <w:rsid w:val="00310BB9"/>
    <w:rsid w:val="00312102"/>
    <w:rsid w:val="003124AA"/>
    <w:rsid w:val="003136E6"/>
    <w:rsid w:val="003160A0"/>
    <w:rsid w:val="00316157"/>
    <w:rsid w:val="0031649D"/>
    <w:rsid w:val="00316649"/>
    <w:rsid w:val="00316CA4"/>
    <w:rsid w:val="00316F01"/>
    <w:rsid w:val="0032031F"/>
    <w:rsid w:val="003211E4"/>
    <w:rsid w:val="00323578"/>
    <w:rsid w:val="003239FA"/>
    <w:rsid w:val="00323D81"/>
    <w:rsid w:val="00324001"/>
    <w:rsid w:val="0032471E"/>
    <w:rsid w:val="0032475E"/>
    <w:rsid w:val="00324A24"/>
    <w:rsid w:val="00324F9D"/>
    <w:rsid w:val="00325130"/>
    <w:rsid w:val="003301B4"/>
    <w:rsid w:val="0033157A"/>
    <w:rsid w:val="00332539"/>
    <w:rsid w:val="0033382E"/>
    <w:rsid w:val="00333993"/>
    <w:rsid w:val="003339DC"/>
    <w:rsid w:val="00333EED"/>
    <w:rsid w:val="00340628"/>
    <w:rsid w:val="0034380E"/>
    <w:rsid w:val="00346D58"/>
    <w:rsid w:val="00346EDB"/>
    <w:rsid w:val="00350FB4"/>
    <w:rsid w:val="0035164B"/>
    <w:rsid w:val="00352C2B"/>
    <w:rsid w:val="00352DF9"/>
    <w:rsid w:val="00353BBA"/>
    <w:rsid w:val="00353E72"/>
    <w:rsid w:val="00354509"/>
    <w:rsid w:val="00354631"/>
    <w:rsid w:val="003546E9"/>
    <w:rsid w:val="0035564F"/>
    <w:rsid w:val="00360B22"/>
    <w:rsid w:val="003619C9"/>
    <w:rsid w:val="00362FA1"/>
    <w:rsid w:val="00363E4B"/>
    <w:rsid w:val="00364129"/>
    <w:rsid w:val="0036668E"/>
    <w:rsid w:val="0036756A"/>
    <w:rsid w:val="0037002A"/>
    <w:rsid w:val="00371B6C"/>
    <w:rsid w:val="00371DD4"/>
    <w:rsid w:val="00371FD5"/>
    <w:rsid w:val="003737A9"/>
    <w:rsid w:val="00373D54"/>
    <w:rsid w:val="00375084"/>
    <w:rsid w:val="0037514A"/>
    <w:rsid w:val="00376091"/>
    <w:rsid w:val="003766E7"/>
    <w:rsid w:val="00377CC0"/>
    <w:rsid w:val="00377E5A"/>
    <w:rsid w:val="00377F98"/>
    <w:rsid w:val="00380D38"/>
    <w:rsid w:val="00383AF1"/>
    <w:rsid w:val="003845A9"/>
    <w:rsid w:val="0038495C"/>
    <w:rsid w:val="00384E53"/>
    <w:rsid w:val="00384E9A"/>
    <w:rsid w:val="00385B72"/>
    <w:rsid w:val="00385E6E"/>
    <w:rsid w:val="00385FF9"/>
    <w:rsid w:val="00386E4D"/>
    <w:rsid w:val="00387827"/>
    <w:rsid w:val="003902A4"/>
    <w:rsid w:val="00391DD2"/>
    <w:rsid w:val="00394C20"/>
    <w:rsid w:val="0039593C"/>
    <w:rsid w:val="003960F0"/>
    <w:rsid w:val="0039632C"/>
    <w:rsid w:val="00397AF2"/>
    <w:rsid w:val="003A0738"/>
    <w:rsid w:val="003A0F67"/>
    <w:rsid w:val="003A1BB0"/>
    <w:rsid w:val="003A3973"/>
    <w:rsid w:val="003A7B2E"/>
    <w:rsid w:val="003B1062"/>
    <w:rsid w:val="003B1726"/>
    <w:rsid w:val="003B1886"/>
    <w:rsid w:val="003B35FF"/>
    <w:rsid w:val="003B705A"/>
    <w:rsid w:val="003B7F9B"/>
    <w:rsid w:val="003C3787"/>
    <w:rsid w:val="003C4083"/>
    <w:rsid w:val="003C4190"/>
    <w:rsid w:val="003C4F40"/>
    <w:rsid w:val="003C5D32"/>
    <w:rsid w:val="003C7536"/>
    <w:rsid w:val="003C7918"/>
    <w:rsid w:val="003D1067"/>
    <w:rsid w:val="003D18CD"/>
    <w:rsid w:val="003D3C87"/>
    <w:rsid w:val="003D4329"/>
    <w:rsid w:val="003D5884"/>
    <w:rsid w:val="003D5C5F"/>
    <w:rsid w:val="003D5FFB"/>
    <w:rsid w:val="003D6290"/>
    <w:rsid w:val="003D7A50"/>
    <w:rsid w:val="003D7D61"/>
    <w:rsid w:val="003D7EE6"/>
    <w:rsid w:val="003E21B3"/>
    <w:rsid w:val="003E3399"/>
    <w:rsid w:val="003E3747"/>
    <w:rsid w:val="003E4B50"/>
    <w:rsid w:val="003E4C73"/>
    <w:rsid w:val="003E6569"/>
    <w:rsid w:val="003F0897"/>
    <w:rsid w:val="003F14DD"/>
    <w:rsid w:val="003F227B"/>
    <w:rsid w:val="003F3BF2"/>
    <w:rsid w:val="003F65E3"/>
    <w:rsid w:val="003F6B62"/>
    <w:rsid w:val="003F6C8F"/>
    <w:rsid w:val="004008EB"/>
    <w:rsid w:val="00400AD8"/>
    <w:rsid w:val="004012E8"/>
    <w:rsid w:val="00403734"/>
    <w:rsid w:val="00404743"/>
    <w:rsid w:val="00404A3D"/>
    <w:rsid w:val="0040573B"/>
    <w:rsid w:val="00405E88"/>
    <w:rsid w:val="0040701A"/>
    <w:rsid w:val="0041098F"/>
    <w:rsid w:val="00410DFE"/>
    <w:rsid w:val="00412B2D"/>
    <w:rsid w:val="00413725"/>
    <w:rsid w:val="00414B4A"/>
    <w:rsid w:val="0041560A"/>
    <w:rsid w:val="004161DE"/>
    <w:rsid w:val="00416B63"/>
    <w:rsid w:val="00417FFC"/>
    <w:rsid w:val="004201B3"/>
    <w:rsid w:val="00420327"/>
    <w:rsid w:val="00421FA2"/>
    <w:rsid w:val="00424414"/>
    <w:rsid w:val="00427021"/>
    <w:rsid w:val="00427E89"/>
    <w:rsid w:val="004301D9"/>
    <w:rsid w:val="004353CB"/>
    <w:rsid w:val="004358BF"/>
    <w:rsid w:val="00436A3E"/>
    <w:rsid w:val="0043731E"/>
    <w:rsid w:val="00441164"/>
    <w:rsid w:val="00443705"/>
    <w:rsid w:val="004437A2"/>
    <w:rsid w:val="00446331"/>
    <w:rsid w:val="0044655E"/>
    <w:rsid w:val="00451FD6"/>
    <w:rsid w:val="00452496"/>
    <w:rsid w:val="00452DDE"/>
    <w:rsid w:val="0045577F"/>
    <w:rsid w:val="00456E01"/>
    <w:rsid w:val="00461E3F"/>
    <w:rsid w:val="0046289F"/>
    <w:rsid w:val="00464B8F"/>
    <w:rsid w:val="00464CC4"/>
    <w:rsid w:val="00467E72"/>
    <w:rsid w:val="00470103"/>
    <w:rsid w:val="0047064E"/>
    <w:rsid w:val="0047081B"/>
    <w:rsid w:val="004708BD"/>
    <w:rsid w:val="00473812"/>
    <w:rsid w:val="00474A4B"/>
    <w:rsid w:val="0047730F"/>
    <w:rsid w:val="00480569"/>
    <w:rsid w:val="004823E4"/>
    <w:rsid w:val="004837A8"/>
    <w:rsid w:val="00483E20"/>
    <w:rsid w:val="00483EE2"/>
    <w:rsid w:val="00484084"/>
    <w:rsid w:val="00485EB7"/>
    <w:rsid w:val="004874AF"/>
    <w:rsid w:val="004877F0"/>
    <w:rsid w:val="00491458"/>
    <w:rsid w:val="00491FC4"/>
    <w:rsid w:val="004920A3"/>
    <w:rsid w:val="00492C5D"/>
    <w:rsid w:val="00493907"/>
    <w:rsid w:val="0049591C"/>
    <w:rsid w:val="004A0A98"/>
    <w:rsid w:val="004A1918"/>
    <w:rsid w:val="004A29BB"/>
    <w:rsid w:val="004A2C7E"/>
    <w:rsid w:val="004A2EC6"/>
    <w:rsid w:val="004A50D2"/>
    <w:rsid w:val="004A6B3A"/>
    <w:rsid w:val="004B024D"/>
    <w:rsid w:val="004B048E"/>
    <w:rsid w:val="004B113C"/>
    <w:rsid w:val="004B151F"/>
    <w:rsid w:val="004B1703"/>
    <w:rsid w:val="004B2145"/>
    <w:rsid w:val="004B28D9"/>
    <w:rsid w:val="004B36BE"/>
    <w:rsid w:val="004B37A7"/>
    <w:rsid w:val="004B3B19"/>
    <w:rsid w:val="004B45D5"/>
    <w:rsid w:val="004B56D3"/>
    <w:rsid w:val="004C00C6"/>
    <w:rsid w:val="004C42EE"/>
    <w:rsid w:val="004C6EFF"/>
    <w:rsid w:val="004C71BE"/>
    <w:rsid w:val="004D110E"/>
    <w:rsid w:val="004D1693"/>
    <w:rsid w:val="004D18BC"/>
    <w:rsid w:val="004D574C"/>
    <w:rsid w:val="004D5BE3"/>
    <w:rsid w:val="004D5D6F"/>
    <w:rsid w:val="004D6182"/>
    <w:rsid w:val="004D7147"/>
    <w:rsid w:val="004E0402"/>
    <w:rsid w:val="004E15BA"/>
    <w:rsid w:val="004E6F56"/>
    <w:rsid w:val="004E720D"/>
    <w:rsid w:val="004F00B8"/>
    <w:rsid w:val="004F11BD"/>
    <w:rsid w:val="004F1BE2"/>
    <w:rsid w:val="004F1C74"/>
    <w:rsid w:val="004F22C0"/>
    <w:rsid w:val="004F4270"/>
    <w:rsid w:val="004F460F"/>
    <w:rsid w:val="004F5982"/>
    <w:rsid w:val="004F7572"/>
    <w:rsid w:val="004F7908"/>
    <w:rsid w:val="00500486"/>
    <w:rsid w:val="00500A71"/>
    <w:rsid w:val="0050228B"/>
    <w:rsid w:val="00503EDB"/>
    <w:rsid w:val="005067FD"/>
    <w:rsid w:val="00507A2F"/>
    <w:rsid w:val="005104EF"/>
    <w:rsid w:val="00510853"/>
    <w:rsid w:val="00512145"/>
    <w:rsid w:val="005123C3"/>
    <w:rsid w:val="005127D4"/>
    <w:rsid w:val="00513D07"/>
    <w:rsid w:val="005140E1"/>
    <w:rsid w:val="005157B3"/>
    <w:rsid w:val="005163B2"/>
    <w:rsid w:val="00516D26"/>
    <w:rsid w:val="005204E1"/>
    <w:rsid w:val="00523830"/>
    <w:rsid w:val="00524C15"/>
    <w:rsid w:val="0052524E"/>
    <w:rsid w:val="00525409"/>
    <w:rsid w:val="0052610A"/>
    <w:rsid w:val="00526463"/>
    <w:rsid w:val="00530615"/>
    <w:rsid w:val="00530749"/>
    <w:rsid w:val="00530AF7"/>
    <w:rsid w:val="00534C53"/>
    <w:rsid w:val="00535024"/>
    <w:rsid w:val="00535AC8"/>
    <w:rsid w:val="005407E1"/>
    <w:rsid w:val="00540FE7"/>
    <w:rsid w:val="00543F35"/>
    <w:rsid w:val="0054469F"/>
    <w:rsid w:val="0054471C"/>
    <w:rsid w:val="00544A90"/>
    <w:rsid w:val="00544E5E"/>
    <w:rsid w:val="0054540C"/>
    <w:rsid w:val="005458EC"/>
    <w:rsid w:val="00545E69"/>
    <w:rsid w:val="005462A6"/>
    <w:rsid w:val="00546A0A"/>
    <w:rsid w:val="0055075B"/>
    <w:rsid w:val="00550A49"/>
    <w:rsid w:val="00550B5F"/>
    <w:rsid w:val="005513FA"/>
    <w:rsid w:val="005514DB"/>
    <w:rsid w:val="0055530A"/>
    <w:rsid w:val="00557DAB"/>
    <w:rsid w:val="00560418"/>
    <w:rsid w:val="00560CBA"/>
    <w:rsid w:val="005615CB"/>
    <w:rsid w:val="00562B8E"/>
    <w:rsid w:val="00562C21"/>
    <w:rsid w:val="005646A1"/>
    <w:rsid w:val="005650F2"/>
    <w:rsid w:val="00570293"/>
    <w:rsid w:val="0057056C"/>
    <w:rsid w:val="005705D2"/>
    <w:rsid w:val="00570737"/>
    <w:rsid w:val="0057194C"/>
    <w:rsid w:val="00572D69"/>
    <w:rsid w:val="0057345B"/>
    <w:rsid w:val="005746CE"/>
    <w:rsid w:val="00574F19"/>
    <w:rsid w:val="005751F7"/>
    <w:rsid w:val="0057570C"/>
    <w:rsid w:val="00576B9E"/>
    <w:rsid w:val="00580DB5"/>
    <w:rsid w:val="00580EE4"/>
    <w:rsid w:val="00581801"/>
    <w:rsid w:val="00582A31"/>
    <w:rsid w:val="00583197"/>
    <w:rsid w:val="0058369F"/>
    <w:rsid w:val="00584184"/>
    <w:rsid w:val="00584398"/>
    <w:rsid w:val="0058610A"/>
    <w:rsid w:val="005864F7"/>
    <w:rsid w:val="00587327"/>
    <w:rsid w:val="005905BC"/>
    <w:rsid w:val="005905C9"/>
    <w:rsid w:val="00590B39"/>
    <w:rsid w:val="00591830"/>
    <w:rsid w:val="00592263"/>
    <w:rsid w:val="00592932"/>
    <w:rsid w:val="00592BCF"/>
    <w:rsid w:val="00593B83"/>
    <w:rsid w:val="005946CD"/>
    <w:rsid w:val="0059504A"/>
    <w:rsid w:val="005962EF"/>
    <w:rsid w:val="005A0444"/>
    <w:rsid w:val="005A1307"/>
    <w:rsid w:val="005A3FC3"/>
    <w:rsid w:val="005A4E23"/>
    <w:rsid w:val="005A5753"/>
    <w:rsid w:val="005B0443"/>
    <w:rsid w:val="005B2464"/>
    <w:rsid w:val="005C02E5"/>
    <w:rsid w:val="005C0422"/>
    <w:rsid w:val="005C189C"/>
    <w:rsid w:val="005C19F6"/>
    <w:rsid w:val="005C2D84"/>
    <w:rsid w:val="005C4720"/>
    <w:rsid w:val="005C567F"/>
    <w:rsid w:val="005C631D"/>
    <w:rsid w:val="005C661A"/>
    <w:rsid w:val="005D04AC"/>
    <w:rsid w:val="005D09AD"/>
    <w:rsid w:val="005D0ED2"/>
    <w:rsid w:val="005D3CF2"/>
    <w:rsid w:val="005D3E94"/>
    <w:rsid w:val="005D4235"/>
    <w:rsid w:val="005D4919"/>
    <w:rsid w:val="005D4F6B"/>
    <w:rsid w:val="005D5360"/>
    <w:rsid w:val="005D60E2"/>
    <w:rsid w:val="005D6F55"/>
    <w:rsid w:val="005D7E8D"/>
    <w:rsid w:val="005E0191"/>
    <w:rsid w:val="005E1042"/>
    <w:rsid w:val="005E1C0A"/>
    <w:rsid w:val="005E2A8B"/>
    <w:rsid w:val="005E2FC7"/>
    <w:rsid w:val="005E403E"/>
    <w:rsid w:val="005E46A5"/>
    <w:rsid w:val="005E5526"/>
    <w:rsid w:val="005E5763"/>
    <w:rsid w:val="005E7527"/>
    <w:rsid w:val="005F065E"/>
    <w:rsid w:val="005F0C4C"/>
    <w:rsid w:val="005F12CD"/>
    <w:rsid w:val="005F2BC0"/>
    <w:rsid w:val="005F4891"/>
    <w:rsid w:val="005F5577"/>
    <w:rsid w:val="005F59F6"/>
    <w:rsid w:val="005F63D7"/>
    <w:rsid w:val="005F658C"/>
    <w:rsid w:val="00600E6A"/>
    <w:rsid w:val="006011C5"/>
    <w:rsid w:val="00602E05"/>
    <w:rsid w:val="006033B0"/>
    <w:rsid w:val="006059A8"/>
    <w:rsid w:val="00605F3F"/>
    <w:rsid w:val="006061CC"/>
    <w:rsid w:val="006062A2"/>
    <w:rsid w:val="00606893"/>
    <w:rsid w:val="0060690F"/>
    <w:rsid w:val="00606F3F"/>
    <w:rsid w:val="006105BA"/>
    <w:rsid w:val="00611F07"/>
    <w:rsid w:val="00612A73"/>
    <w:rsid w:val="00612A86"/>
    <w:rsid w:val="00614714"/>
    <w:rsid w:val="0061570E"/>
    <w:rsid w:val="00615A0A"/>
    <w:rsid w:val="00617220"/>
    <w:rsid w:val="006240C1"/>
    <w:rsid w:val="0062635D"/>
    <w:rsid w:val="006278C8"/>
    <w:rsid w:val="00630DAF"/>
    <w:rsid w:val="006314DC"/>
    <w:rsid w:val="0063158B"/>
    <w:rsid w:val="00631797"/>
    <w:rsid w:val="00632E16"/>
    <w:rsid w:val="00633B00"/>
    <w:rsid w:val="00634790"/>
    <w:rsid w:val="0063683C"/>
    <w:rsid w:val="006369EF"/>
    <w:rsid w:val="006409D6"/>
    <w:rsid w:val="00642177"/>
    <w:rsid w:val="006437D0"/>
    <w:rsid w:val="006442FF"/>
    <w:rsid w:val="00646831"/>
    <w:rsid w:val="00650187"/>
    <w:rsid w:val="00650238"/>
    <w:rsid w:val="00652543"/>
    <w:rsid w:val="00652BAD"/>
    <w:rsid w:val="006532F5"/>
    <w:rsid w:val="006533E7"/>
    <w:rsid w:val="00653903"/>
    <w:rsid w:val="00653CEB"/>
    <w:rsid w:val="006545A5"/>
    <w:rsid w:val="00656270"/>
    <w:rsid w:val="00656EF9"/>
    <w:rsid w:val="00657BED"/>
    <w:rsid w:val="00657E17"/>
    <w:rsid w:val="006610C4"/>
    <w:rsid w:val="0066267E"/>
    <w:rsid w:val="00662E1D"/>
    <w:rsid w:val="00662E6C"/>
    <w:rsid w:val="0066363A"/>
    <w:rsid w:val="00665333"/>
    <w:rsid w:val="00666235"/>
    <w:rsid w:val="00670074"/>
    <w:rsid w:val="00670175"/>
    <w:rsid w:val="006701ED"/>
    <w:rsid w:val="006704C5"/>
    <w:rsid w:val="0067107C"/>
    <w:rsid w:val="00672700"/>
    <w:rsid w:val="00672DA3"/>
    <w:rsid w:val="0067304F"/>
    <w:rsid w:val="00673E2E"/>
    <w:rsid w:val="006759B1"/>
    <w:rsid w:val="00675FC5"/>
    <w:rsid w:val="00677737"/>
    <w:rsid w:val="00680D34"/>
    <w:rsid w:val="00681165"/>
    <w:rsid w:val="00681D3B"/>
    <w:rsid w:val="00681D96"/>
    <w:rsid w:val="00682634"/>
    <w:rsid w:val="0068787B"/>
    <w:rsid w:val="0069054C"/>
    <w:rsid w:val="006906BC"/>
    <w:rsid w:val="00692F99"/>
    <w:rsid w:val="00693A91"/>
    <w:rsid w:val="00694D02"/>
    <w:rsid w:val="00694DE3"/>
    <w:rsid w:val="00694EF8"/>
    <w:rsid w:val="006A18E8"/>
    <w:rsid w:val="006A20A0"/>
    <w:rsid w:val="006A2A1D"/>
    <w:rsid w:val="006A4206"/>
    <w:rsid w:val="006A4B6B"/>
    <w:rsid w:val="006A4E04"/>
    <w:rsid w:val="006A5C34"/>
    <w:rsid w:val="006A64DC"/>
    <w:rsid w:val="006A6C70"/>
    <w:rsid w:val="006A7B5A"/>
    <w:rsid w:val="006B52C3"/>
    <w:rsid w:val="006B7A99"/>
    <w:rsid w:val="006B7AA0"/>
    <w:rsid w:val="006C05A4"/>
    <w:rsid w:val="006C0A17"/>
    <w:rsid w:val="006C0FEA"/>
    <w:rsid w:val="006C4731"/>
    <w:rsid w:val="006C4C6D"/>
    <w:rsid w:val="006C62BA"/>
    <w:rsid w:val="006C6397"/>
    <w:rsid w:val="006D20E4"/>
    <w:rsid w:val="006D2B93"/>
    <w:rsid w:val="006D2FB3"/>
    <w:rsid w:val="006D41D5"/>
    <w:rsid w:val="006D45B3"/>
    <w:rsid w:val="006D653C"/>
    <w:rsid w:val="006E0056"/>
    <w:rsid w:val="006E0118"/>
    <w:rsid w:val="006E0BFE"/>
    <w:rsid w:val="006E1383"/>
    <w:rsid w:val="006E1CA7"/>
    <w:rsid w:val="006E2962"/>
    <w:rsid w:val="006E454A"/>
    <w:rsid w:val="006E4614"/>
    <w:rsid w:val="006E576A"/>
    <w:rsid w:val="006E59CB"/>
    <w:rsid w:val="006E5B3B"/>
    <w:rsid w:val="006E619F"/>
    <w:rsid w:val="006F191A"/>
    <w:rsid w:val="006F2A74"/>
    <w:rsid w:val="006F43EA"/>
    <w:rsid w:val="006F5EE7"/>
    <w:rsid w:val="006F5FA2"/>
    <w:rsid w:val="0070000C"/>
    <w:rsid w:val="00700B03"/>
    <w:rsid w:val="00701605"/>
    <w:rsid w:val="007023F6"/>
    <w:rsid w:val="00703045"/>
    <w:rsid w:val="00704082"/>
    <w:rsid w:val="0070561D"/>
    <w:rsid w:val="007072D7"/>
    <w:rsid w:val="0071070B"/>
    <w:rsid w:val="00711037"/>
    <w:rsid w:val="00711A3B"/>
    <w:rsid w:val="007124ED"/>
    <w:rsid w:val="00712721"/>
    <w:rsid w:val="007139CC"/>
    <w:rsid w:val="00714340"/>
    <w:rsid w:val="007177AC"/>
    <w:rsid w:val="007206AF"/>
    <w:rsid w:val="00720CE8"/>
    <w:rsid w:val="00720F3A"/>
    <w:rsid w:val="0072480E"/>
    <w:rsid w:val="00725B45"/>
    <w:rsid w:val="00725FD2"/>
    <w:rsid w:val="007261C6"/>
    <w:rsid w:val="00726CD3"/>
    <w:rsid w:val="00727326"/>
    <w:rsid w:val="00727361"/>
    <w:rsid w:val="00730A6E"/>
    <w:rsid w:val="00730A6F"/>
    <w:rsid w:val="0073146E"/>
    <w:rsid w:val="007315A1"/>
    <w:rsid w:val="0073336D"/>
    <w:rsid w:val="00734854"/>
    <w:rsid w:val="00736473"/>
    <w:rsid w:val="00736568"/>
    <w:rsid w:val="007368B5"/>
    <w:rsid w:val="007404E8"/>
    <w:rsid w:val="00742382"/>
    <w:rsid w:val="007437A6"/>
    <w:rsid w:val="007438AF"/>
    <w:rsid w:val="0074471E"/>
    <w:rsid w:val="007450E8"/>
    <w:rsid w:val="007469E7"/>
    <w:rsid w:val="00746A57"/>
    <w:rsid w:val="00746ECD"/>
    <w:rsid w:val="00747AFA"/>
    <w:rsid w:val="00750620"/>
    <w:rsid w:val="007512B8"/>
    <w:rsid w:val="00752E6B"/>
    <w:rsid w:val="00753389"/>
    <w:rsid w:val="00753BC5"/>
    <w:rsid w:val="007552E0"/>
    <w:rsid w:val="0075659A"/>
    <w:rsid w:val="007566E4"/>
    <w:rsid w:val="00756B1D"/>
    <w:rsid w:val="00756E81"/>
    <w:rsid w:val="00756F65"/>
    <w:rsid w:val="00757416"/>
    <w:rsid w:val="007621CC"/>
    <w:rsid w:val="00765E9D"/>
    <w:rsid w:val="00767763"/>
    <w:rsid w:val="007771DA"/>
    <w:rsid w:val="00777888"/>
    <w:rsid w:val="00777C47"/>
    <w:rsid w:val="007802D2"/>
    <w:rsid w:val="00781A75"/>
    <w:rsid w:val="00781CC1"/>
    <w:rsid w:val="0078217F"/>
    <w:rsid w:val="007823DF"/>
    <w:rsid w:val="00782860"/>
    <w:rsid w:val="00784EB9"/>
    <w:rsid w:val="00785B67"/>
    <w:rsid w:val="00786DB5"/>
    <w:rsid w:val="007879B1"/>
    <w:rsid w:val="00792780"/>
    <w:rsid w:val="00792B1D"/>
    <w:rsid w:val="00792BAD"/>
    <w:rsid w:val="00797756"/>
    <w:rsid w:val="00797E75"/>
    <w:rsid w:val="007A0670"/>
    <w:rsid w:val="007A16E8"/>
    <w:rsid w:val="007A4648"/>
    <w:rsid w:val="007A493E"/>
    <w:rsid w:val="007A4995"/>
    <w:rsid w:val="007A509F"/>
    <w:rsid w:val="007A7084"/>
    <w:rsid w:val="007A7553"/>
    <w:rsid w:val="007B31AF"/>
    <w:rsid w:val="007B3DD0"/>
    <w:rsid w:val="007B43B2"/>
    <w:rsid w:val="007B4B59"/>
    <w:rsid w:val="007B5BCD"/>
    <w:rsid w:val="007B5FC5"/>
    <w:rsid w:val="007C0E3E"/>
    <w:rsid w:val="007C0F97"/>
    <w:rsid w:val="007C4303"/>
    <w:rsid w:val="007C6309"/>
    <w:rsid w:val="007C7BD7"/>
    <w:rsid w:val="007D16E8"/>
    <w:rsid w:val="007D17AE"/>
    <w:rsid w:val="007D23B1"/>
    <w:rsid w:val="007D446E"/>
    <w:rsid w:val="007D50F4"/>
    <w:rsid w:val="007D70E0"/>
    <w:rsid w:val="007E0004"/>
    <w:rsid w:val="007E0061"/>
    <w:rsid w:val="007E00B3"/>
    <w:rsid w:val="007E00B9"/>
    <w:rsid w:val="007E0369"/>
    <w:rsid w:val="007E0DFE"/>
    <w:rsid w:val="007E2246"/>
    <w:rsid w:val="007E2E0B"/>
    <w:rsid w:val="007E531D"/>
    <w:rsid w:val="007E53E4"/>
    <w:rsid w:val="007E6A9D"/>
    <w:rsid w:val="007E7C97"/>
    <w:rsid w:val="007F10F7"/>
    <w:rsid w:val="007F2906"/>
    <w:rsid w:val="007F2EE7"/>
    <w:rsid w:val="007F3545"/>
    <w:rsid w:val="007F42BC"/>
    <w:rsid w:val="007F5293"/>
    <w:rsid w:val="007F52A1"/>
    <w:rsid w:val="007F6FFA"/>
    <w:rsid w:val="007F742B"/>
    <w:rsid w:val="007F761E"/>
    <w:rsid w:val="007F7D8C"/>
    <w:rsid w:val="00800060"/>
    <w:rsid w:val="008022DF"/>
    <w:rsid w:val="00802EBD"/>
    <w:rsid w:val="0080391B"/>
    <w:rsid w:val="008050FB"/>
    <w:rsid w:val="00807E1E"/>
    <w:rsid w:val="00810286"/>
    <w:rsid w:val="00813A3B"/>
    <w:rsid w:val="00813B9F"/>
    <w:rsid w:val="00815A24"/>
    <w:rsid w:val="008176EF"/>
    <w:rsid w:val="008203C9"/>
    <w:rsid w:val="00820AA7"/>
    <w:rsid w:val="00820D6D"/>
    <w:rsid w:val="00821A3C"/>
    <w:rsid w:val="00822694"/>
    <w:rsid w:val="00822F92"/>
    <w:rsid w:val="00824FA2"/>
    <w:rsid w:val="00825CEB"/>
    <w:rsid w:val="00825F18"/>
    <w:rsid w:val="00830BC1"/>
    <w:rsid w:val="00831658"/>
    <w:rsid w:val="00831ACE"/>
    <w:rsid w:val="008326DA"/>
    <w:rsid w:val="00833CF0"/>
    <w:rsid w:val="00833D7F"/>
    <w:rsid w:val="008342CA"/>
    <w:rsid w:val="00834BC3"/>
    <w:rsid w:val="00835374"/>
    <w:rsid w:val="00836972"/>
    <w:rsid w:val="00837572"/>
    <w:rsid w:val="00837586"/>
    <w:rsid w:val="00840012"/>
    <w:rsid w:val="0084029C"/>
    <w:rsid w:val="00840EC7"/>
    <w:rsid w:val="00841363"/>
    <w:rsid w:val="008413E5"/>
    <w:rsid w:val="00841DB6"/>
    <w:rsid w:val="00842FF8"/>
    <w:rsid w:val="00843DDF"/>
    <w:rsid w:val="00844586"/>
    <w:rsid w:val="008450EB"/>
    <w:rsid w:val="00846DDB"/>
    <w:rsid w:val="00850958"/>
    <w:rsid w:val="00852907"/>
    <w:rsid w:val="00852C31"/>
    <w:rsid w:val="00856B93"/>
    <w:rsid w:val="00857692"/>
    <w:rsid w:val="00857E83"/>
    <w:rsid w:val="008609A2"/>
    <w:rsid w:val="00861856"/>
    <w:rsid w:val="00861DD4"/>
    <w:rsid w:val="00862825"/>
    <w:rsid w:val="00865E64"/>
    <w:rsid w:val="00865EC0"/>
    <w:rsid w:val="00871784"/>
    <w:rsid w:val="00871962"/>
    <w:rsid w:val="008745F7"/>
    <w:rsid w:val="008746F7"/>
    <w:rsid w:val="00875472"/>
    <w:rsid w:val="00875F39"/>
    <w:rsid w:val="00880670"/>
    <w:rsid w:val="008807EE"/>
    <w:rsid w:val="00880DA1"/>
    <w:rsid w:val="008814F0"/>
    <w:rsid w:val="00882D15"/>
    <w:rsid w:val="0088320B"/>
    <w:rsid w:val="008847F9"/>
    <w:rsid w:val="0088529B"/>
    <w:rsid w:val="00887E92"/>
    <w:rsid w:val="00891EC8"/>
    <w:rsid w:val="00892843"/>
    <w:rsid w:val="00893F9F"/>
    <w:rsid w:val="00893FEA"/>
    <w:rsid w:val="00894802"/>
    <w:rsid w:val="00896BC4"/>
    <w:rsid w:val="00896FAC"/>
    <w:rsid w:val="008A0BC8"/>
    <w:rsid w:val="008A0D43"/>
    <w:rsid w:val="008A1EA5"/>
    <w:rsid w:val="008A2593"/>
    <w:rsid w:val="008A29A2"/>
    <w:rsid w:val="008A36C8"/>
    <w:rsid w:val="008A3E7A"/>
    <w:rsid w:val="008A48EC"/>
    <w:rsid w:val="008A69C1"/>
    <w:rsid w:val="008A7393"/>
    <w:rsid w:val="008B071A"/>
    <w:rsid w:val="008B4AC0"/>
    <w:rsid w:val="008B4B9A"/>
    <w:rsid w:val="008B60F4"/>
    <w:rsid w:val="008B6C72"/>
    <w:rsid w:val="008B7841"/>
    <w:rsid w:val="008B7F0C"/>
    <w:rsid w:val="008C042B"/>
    <w:rsid w:val="008C07C2"/>
    <w:rsid w:val="008C2065"/>
    <w:rsid w:val="008C2726"/>
    <w:rsid w:val="008C2A74"/>
    <w:rsid w:val="008C54D3"/>
    <w:rsid w:val="008C59F6"/>
    <w:rsid w:val="008D1431"/>
    <w:rsid w:val="008D1F8C"/>
    <w:rsid w:val="008D3426"/>
    <w:rsid w:val="008D3583"/>
    <w:rsid w:val="008D3E6C"/>
    <w:rsid w:val="008D45AB"/>
    <w:rsid w:val="008D4DB0"/>
    <w:rsid w:val="008D53EE"/>
    <w:rsid w:val="008D678F"/>
    <w:rsid w:val="008D6E39"/>
    <w:rsid w:val="008D71EC"/>
    <w:rsid w:val="008E0A8C"/>
    <w:rsid w:val="008E1C08"/>
    <w:rsid w:val="008E206B"/>
    <w:rsid w:val="008E2338"/>
    <w:rsid w:val="008E29D4"/>
    <w:rsid w:val="008E3AC1"/>
    <w:rsid w:val="008E4A12"/>
    <w:rsid w:val="008E5207"/>
    <w:rsid w:val="008E7A3A"/>
    <w:rsid w:val="008F0806"/>
    <w:rsid w:val="008F0A7E"/>
    <w:rsid w:val="008F13B1"/>
    <w:rsid w:val="008F2778"/>
    <w:rsid w:val="008F2C90"/>
    <w:rsid w:val="008F3002"/>
    <w:rsid w:val="008F3088"/>
    <w:rsid w:val="008F3D24"/>
    <w:rsid w:val="008F42AC"/>
    <w:rsid w:val="008F6011"/>
    <w:rsid w:val="008F7DFD"/>
    <w:rsid w:val="00901F06"/>
    <w:rsid w:val="009022AF"/>
    <w:rsid w:val="009040E0"/>
    <w:rsid w:val="00904893"/>
    <w:rsid w:val="00904B79"/>
    <w:rsid w:val="00904D14"/>
    <w:rsid w:val="00904E4F"/>
    <w:rsid w:val="009051EF"/>
    <w:rsid w:val="00906397"/>
    <w:rsid w:val="0090668F"/>
    <w:rsid w:val="00907814"/>
    <w:rsid w:val="00911D02"/>
    <w:rsid w:val="00913B08"/>
    <w:rsid w:val="00914246"/>
    <w:rsid w:val="00916285"/>
    <w:rsid w:val="00916D11"/>
    <w:rsid w:val="00917500"/>
    <w:rsid w:val="00920B6B"/>
    <w:rsid w:val="00921B12"/>
    <w:rsid w:val="00922760"/>
    <w:rsid w:val="00923173"/>
    <w:rsid w:val="00923B88"/>
    <w:rsid w:val="00923E6A"/>
    <w:rsid w:val="009337F1"/>
    <w:rsid w:val="009344BB"/>
    <w:rsid w:val="0094059B"/>
    <w:rsid w:val="009410A0"/>
    <w:rsid w:val="00942B2F"/>
    <w:rsid w:val="009431BE"/>
    <w:rsid w:val="00943341"/>
    <w:rsid w:val="00945416"/>
    <w:rsid w:val="009463A5"/>
    <w:rsid w:val="00946440"/>
    <w:rsid w:val="009501EA"/>
    <w:rsid w:val="00950288"/>
    <w:rsid w:val="009503E2"/>
    <w:rsid w:val="0095160E"/>
    <w:rsid w:val="00951F0F"/>
    <w:rsid w:val="00955913"/>
    <w:rsid w:val="00955F07"/>
    <w:rsid w:val="00956CC9"/>
    <w:rsid w:val="009604CE"/>
    <w:rsid w:val="00963BCF"/>
    <w:rsid w:val="009659E7"/>
    <w:rsid w:val="00971B23"/>
    <w:rsid w:val="009737C2"/>
    <w:rsid w:val="00973E03"/>
    <w:rsid w:val="009755AE"/>
    <w:rsid w:val="00975976"/>
    <w:rsid w:val="00975A6E"/>
    <w:rsid w:val="00981B23"/>
    <w:rsid w:val="00981BE1"/>
    <w:rsid w:val="00981F7F"/>
    <w:rsid w:val="009823ED"/>
    <w:rsid w:val="009826A6"/>
    <w:rsid w:val="00982CD9"/>
    <w:rsid w:val="0098410E"/>
    <w:rsid w:val="00985304"/>
    <w:rsid w:val="0098626E"/>
    <w:rsid w:val="009863D1"/>
    <w:rsid w:val="0099072B"/>
    <w:rsid w:val="00992AF8"/>
    <w:rsid w:val="00994C03"/>
    <w:rsid w:val="00995EB8"/>
    <w:rsid w:val="00995EFC"/>
    <w:rsid w:val="009974E0"/>
    <w:rsid w:val="009A0359"/>
    <w:rsid w:val="009A0396"/>
    <w:rsid w:val="009A3979"/>
    <w:rsid w:val="009A4BD3"/>
    <w:rsid w:val="009A53E1"/>
    <w:rsid w:val="009A5F2A"/>
    <w:rsid w:val="009B0D7B"/>
    <w:rsid w:val="009B112F"/>
    <w:rsid w:val="009B194F"/>
    <w:rsid w:val="009B3DA9"/>
    <w:rsid w:val="009B3E27"/>
    <w:rsid w:val="009B4170"/>
    <w:rsid w:val="009B48E9"/>
    <w:rsid w:val="009B70B1"/>
    <w:rsid w:val="009B7D07"/>
    <w:rsid w:val="009C0EC8"/>
    <w:rsid w:val="009C2BA5"/>
    <w:rsid w:val="009C4F3B"/>
    <w:rsid w:val="009D1670"/>
    <w:rsid w:val="009D2959"/>
    <w:rsid w:val="009D37D9"/>
    <w:rsid w:val="009D403D"/>
    <w:rsid w:val="009D405A"/>
    <w:rsid w:val="009D5BD9"/>
    <w:rsid w:val="009D5C03"/>
    <w:rsid w:val="009D6725"/>
    <w:rsid w:val="009E18B0"/>
    <w:rsid w:val="009E1FD6"/>
    <w:rsid w:val="009E3037"/>
    <w:rsid w:val="009E3340"/>
    <w:rsid w:val="009E4968"/>
    <w:rsid w:val="009E59EE"/>
    <w:rsid w:val="009F0E34"/>
    <w:rsid w:val="009F0F02"/>
    <w:rsid w:val="009F11B1"/>
    <w:rsid w:val="009F25E5"/>
    <w:rsid w:val="009F269D"/>
    <w:rsid w:val="009F283E"/>
    <w:rsid w:val="009F5EB0"/>
    <w:rsid w:val="00A0051B"/>
    <w:rsid w:val="00A02374"/>
    <w:rsid w:val="00A03005"/>
    <w:rsid w:val="00A03144"/>
    <w:rsid w:val="00A034A8"/>
    <w:rsid w:val="00A04DE6"/>
    <w:rsid w:val="00A05F90"/>
    <w:rsid w:val="00A06378"/>
    <w:rsid w:val="00A06B52"/>
    <w:rsid w:val="00A10463"/>
    <w:rsid w:val="00A109BF"/>
    <w:rsid w:val="00A13DB1"/>
    <w:rsid w:val="00A13E02"/>
    <w:rsid w:val="00A1598C"/>
    <w:rsid w:val="00A15A97"/>
    <w:rsid w:val="00A1631A"/>
    <w:rsid w:val="00A2026F"/>
    <w:rsid w:val="00A20C1A"/>
    <w:rsid w:val="00A22DEF"/>
    <w:rsid w:val="00A23C51"/>
    <w:rsid w:val="00A24167"/>
    <w:rsid w:val="00A25631"/>
    <w:rsid w:val="00A30884"/>
    <w:rsid w:val="00A309BF"/>
    <w:rsid w:val="00A31413"/>
    <w:rsid w:val="00A32A84"/>
    <w:rsid w:val="00A365AB"/>
    <w:rsid w:val="00A4075E"/>
    <w:rsid w:val="00A448C6"/>
    <w:rsid w:val="00A44B1C"/>
    <w:rsid w:val="00A4519F"/>
    <w:rsid w:val="00A458E5"/>
    <w:rsid w:val="00A45E6A"/>
    <w:rsid w:val="00A472CF"/>
    <w:rsid w:val="00A47619"/>
    <w:rsid w:val="00A52806"/>
    <w:rsid w:val="00A52A79"/>
    <w:rsid w:val="00A52B7C"/>
    <w:rsid w:val="00A602C3"/>
    <w:rsid w:val="00A60E9B"/>
    <w:rsid w:val="00A6372C"/>
    <w:rsid w:val="00A64069"/>
    <w:rsid w:val="00A6469C"/>
    <w:rsid w:val="00A71315"/>
    <w:rsid w:val="00A718FB"/>
    <w:rsid w:val="00A7291E"/>
    <w:rsid w:val="00A73B67"/>
    <w:rsid w:val="00A75B59"/>
    <w:rsid w:val="00A75B6D"/>
    <w:rsid w:val="00A76F56"/>
    <w:rsid w:val="00A77EA2"/>
    <w:rsid w:val="00A81674"/>
    <w:rsid w:val="00A83775"/>
    <w:rsid w:val="00A8464B"/>
    <w:rsid w:val="00A84E3B"/>
    <w:rsid w:val="00A8504D"/>
    <w:rsid w:val="00A8519E"/>
    <w:rsid w:val="00A86CED"/>
    <w:rsid w:val="00A902F1"/>
    <w:rsid w:val="00A91D29"/>
    <w:rsid w:val="00A933BB"/>
    <w:rsid w:val="00A93DE7"/>
    <w:rsid w:val="00A947E9"/>
    <w:rsid w:val="00A953D0"/>
    <w:rsid w:val="00A9647A"/>
    <w:rsid w:val="00A97ABC"/>
    <w:rsid w:val="00AA1760"/>
    <w:rsid w:val="00AA22CE"/>
    <w:rsid w:val="00AA2BE5"/>
    <w:rsid w:val="00AA40B9"/>
    <w:rsid w:val="00AA46CC"/>
    <w:rsid w:val="00AA5B71"/>
    <w:rsid w:val="00AA6301"/>
    <w:rsid w:val="00AA7049"/>
    <w:rsid w:val="00AA707B"/>
    <w:rsid w:val="00AB0C9A"/>
    <w:rsid w:val="00AB150F"/>
    <w:rsid w:val="00AB1FEC"/>
    <w:rsid w:val="00AB4741"/>
    <w:rsid w:val="00AB4A0D"/>
    <w:rsid w:val="00AB76A4"/>
    <w:rsid w:val="00AC15A2"/>
    <w:rsid w:val="00AC36D5"/>
    <w:rsid w:val="00AC6473"/>
    <w:rsid w:val="00AC6D5C"/>
    <w:rsid w:val="00AD0F2B"/>
    <w:rsid w:val="00AD1B99"/>
    <w:rsid w:val="00AD2E4A"/>
    <w:rsid w:val="00AD3431"/>
    <w:rsid w:val="00AD395A"/>
    <w:rsid w:val="00AD3BC5"/>
    <w:rsid w:val="00AD4FA0"/>
    <w:rsid w:val="00AD6A56"/>
    <w:rsid w:val="00AD731C"/>
    <w:rsid w:val="00AE007E"/>
    <w:rsid w:val="00AE08AE"/>
    <w:rsid w:val="00AE13FF"/>
    <w:rsid w:val="00AE1DC6"/>
    <w:rsid w:val="00AE2517"/>
    <w:rsid w:val="00AE528E"/>
    <w:rsid w:val="00AE56E1"/>
    <w:rsid w:val="00AE670B"/>
    <w:rsid w:val="00AF1529"/>
    <w:rsid w:val="00AF46AE"/>
    <w:rsid w:val="00AF4E40"/>
    <w:rsid w:val="00AF65C5"/>
    <w:rsid w:val="00B01D9B"/>
    <w:rsid w:val="00B025B2"/>
    <w:rsid w:val="00B0414F"/>
    <w:rsid w:val="00B0430F"/>
    <w:rsid w:val="00B04A09"/>
    <w:rsid w:val="00B06B36"/>
    <w:rsid w:val="00B070C9"/>
    <w:rsid w:val="00B076DD"/>
    <w:rsid w:val="00B108AD"/>
    <w:rsid w:val="00B10D6E"/>
    <w:rsid w:val="00B12588"/>
    <w:rsid w:val="00B125FC"/>
    <w:rsid w:val="00B12710"/>
    <w:rsid w:val="00B1464C"/>
    <w:rsid w:val="00B14C76"/>
    <w:rsid w:val="00B14E91"/>
    <w:rsid w:val="00B1725F"/>
    <w:rsid w:val="00B210E7"/>
    <w:rsid w:val="00B21A90"/>
    <w:rsid w:val="00B2224B"/>
    <w:rsid w:val="00B239E8"/>
    <w:rsid w:val="00B23CAC"/>
    <w:rsid w:val="00B26A88"/>
    <w:rsid w:val="00B312FF"/>
    <w:rsid w:val="00B34546"/>
    <w:rsid w:val="00B34F34"/>
    <w:rsid w:val="00B35E30"/>
    <w:rsid w:val="00B3648C"/>
    <w:rsid w:val="00B37804"/>
    <w:rsid w:val="00B40097"/>
    <w:rsid w:val="00B40DF9"/>
    <w:rsid w:val="00B42B2F"/>
    <w:rsid w:val="00B433DB"/>
    <w:rsid w:val="00B43FD3"/>
    <w:rsid w:val="00B47312"/>
    <w:rsid w:val="00B47652"/>
    <w:rsid w:val="00B52BC5"/>
    <w:rsid w:val="00B52F66"/>
    <w:rsid w:val="00B53654"/>
    <w:rsid w:val="00B541DE"/>
    <w:rsid w:val="00B547D3"/>
    <w:rsid w:val="00B559DE"/>
    <w:rsid w:val="00B6155D"/>
    <w:rsid w:val="00B61963"/>
    <w:rsid w:val="00B63043"/>
    <w:rsid w:val="00B633FA"/>
    <w:rsid w:val="00B63868"/>
    <w:rsid w:val="00B63F68"/>
    <w:rsid w:val="00B64213"/>
    <w:rsid w:val="00B65949"/>
    <w:rsid w:val="00B66966"/>
    <w:rsid w:val="00B669C9"/>
    <w:rsid w:val="00B6755F"/>
    <w:rsid w:val="00B70348"/>
    <w:rsid w:val="00B7054F"/>
    <w:rsid w:val="00B70799"/>
    <w:rsid w:val="00B727F1"/>
    <w:rsid w:val="00B74BF3"/>
    <w:rsid w:val="00B75211"/>
    <w:rsid w:val="00B75783"/>
    <w:rsid w:val="00B75B0E"/>
    <w:rsid w:val="00B762B1"/>
    <w:rsid w:val="00B77141"/>
    <w:rsid w:val="00B806D2"/>
    <w:rsid w:val="00B80A4C"/>
    <w:rsid w:val="00B80F6D"/>
    <w:rsid w:val="00B82B74"/>
    <w:rsid w:val="00B836F6"/>
    <w:rsid w:val="00B83FAB"/>
    <w:rsid w:val="00B8449D"/>
    <w:rsid w:val="00B85331"/>
    <w:rsid w:val="00B86A72"/>
    <w:rsid w:val="00B872A4"/>
    <w:rsid w:val="00B9000F"/>
    <w:rsid w:val="00B905FA"/>
    <w:rsid w:val="00B9119D"/>
    <w:rsid w:val="00B92246"/>
    <w:rsid w:val="00B92E4A"/>
    <w:rsid w:val="00B93843"/>
    <w:rsid w:val="00B95536"/>
    <w:rsid w:val="00B95E1B"/>
    <w:rsid w:val="00B95E6B"/>
    <w:rsid w:val="00B964CA"/>
    <w:rsid w:val="00B96D6A"/>
    <w:rsid w:val="00B973A3"/>
    <w:rsid w:val="00BA0A24"/>
    <w:rsid w:val="00BA1B62"/>
    <w:rsid w:val="00BA26C7"/>
    <w:rsid w:val="00BA348C"/>
    <w:rsid w:val="00BA3C45"/>
    <w:rsid w:val="00BA56DC"/>
    <w:rsid w:val="00BB054B"/>
    <w:rsid w:val="00BB06C9"/>
    <w:rsid w:val="00BB3535"/>
    <w:rsid w:val="00BB5B1F"/>
    <w:rsid w:val="00BB5F49"/>
    <w:rsid w:val="00BB769D"/>
    <w:rsid w:val="00BC0EF5"/>
    <w:rsid w:val="00BC279A"/>
    <w:rsid w:val="00BC2FE8"/>
    <w:rsid w:val="00BC5001"/>
    <w:rsid w:val="00BC6B42"/>
    <w:rsid w:val="00BC6CDD"/>
    <w:rsid w:val="00BC7D07"/>
    <w:rsid w:val="00BD062E"/>
    <w:rsid w:val="00BD0A4A"/>
    <w:rsid w:val="00BD1E15"/>
    <w:rsid w:val="00BD22FF"/>
    <w:rsid w:val="00BD46F8"/>
    <w:rsid w:val="00BD5A5A"/>
    <w:rsid w:val="00BF0648"/>
    <w:rsid w:val="00BF0851"/>
    <w:rsid w:val="00BF0B02"/>
    <w:rsid w:val="00BF5717"/>
    <w:rsid w:val="00BF5A5F"/>
    <w:rsid w:val="00C00273"/>
    <w:rsid w:val="00C0109C"/>
    <w:rsid w:val="00C01D66"/>
    <w:rsid w:val="00C0275B"/>
    <w:rsid w:val="00C03624"/>
    <w:rsid w:val="00C0464D"/>
    <w:rsid w:val="00C0532B"/>
    <w:rsid w:val="00C07493"/>
    <w:rsid w:val="00C07F0B"/>
    <w:rsid w:val="00C11763"/>
    <w:rsid w:val="00C11FF6"/>
    <w:rsid w:val="00C12C4B"/>
    <w:rsid w:val="00C137C2"/>
    <w:rsid w:val="00C13AC7"/>
    <w:rsid w:val="00C14482"/>
    <w:rsid w:val="00C144C1"/>
    <w:rsid w:val="00C1485F"/>
    <w:rsid w:val="00C15BCF"/>
    <w:rsid w:val="00C16500"/>
    <w:rsid w:val="00C167B5"/>
    <w:rsid w:val="00C16DEF"/>
    <w:rsid w:val="00C20923"/>
    <w:rsid w:val="00C2199B"/>
    <w:rsid w:val="00C228C7"/>
    <w:rsid w:val="00C24FF3"/>
    <w:rsid w:val="00C2767E"/>
    <w:rsid w:val="00C2769A"/>
    <w:rsid w:val="00C277D9"/>
    <w:rsid w:val="00C27F68"/>
    <w:rsid w:val="00C31F20"/>
    <w:rsid w:val="00C326B9"/>
    <w:rsid w:val="00C34BED"/>
    <w:rsid w:val="00C34F47"/>
    <w:rsid w:val="00C35DF9"/>
    <w:rsid w:val="00C366B4"/>
    <w:rsid w:val="00C405D1"/>
    <w:rsid w:val="00C40D32"/>
    <w:rsid w:val="00C42E7C"/>
    <w:rsid w:val="00C44541"/>
    <w:rsid w:val="00C45609"/>
    <w:rsid w:val="00C45C4E"/>
    <w:rsid w:val="00C467B4"/>
    <w:rsid w:val="00C51ECB"/>
    <w:rsid w:val="00C5366B"/>
    <w:rsid w:val="00C54067"/>
    <w:rsid w:val="00C542A7"/>
    <w:rsid w:val="00C54C73"/>
    <w:rsid w:val="00C55B46"/>
    <w:rsid w:val="00C56119"/>
    <w:rsid w:val="00C57C6E"/>
    <w:rsid w:val="00C61334"/>
    <w:rsid w:val="00C61618"/>
    <w:rsid w:val="00C61A09"/>
    <w:rsid w:val="00C61F28"/>
    <w:rsid w:val="00C62674"/>
    <w:rsid w:val="00C65A21"/>
    <w:rsid w:val="00C65C94"/>
    <w:rsid w:val="00C66B6F"/>
    <w:rsid w:val="00C66D9A"/>
    <w:rsid w:val="00C701E7"/>
    <w:rsid w:val="00C747D3"/>
    <w:rsid w:val="00C752C8"/>
    <w:rsid w:val="00C76059"/>
    <w:rsid w:val="00C7684F"/>
    <w:rsid w:val="00C76B0E"/>
    <w:rsid w:val="00C76E87"/>
    <w:rsid w:val="00C77B23"/>
    <w:rsid w:val="00C839B9"/>
    <w:rsid w:val="00C83EE8"/>
    <w:rsid w:val="00C8558C"/>
    <w:rsid w:val="00C8783B"/>
    <w:rsid w:val="00C90423"/>
    <w:rsid w:val="00C90C5D"/>
    <w:rsid w:val="00C90E0A"/>
    <w:rsid w:val="00C9112D"/>
    <w:rsid w:val="00C91897"/>
    <w:rsid w:val="00C94578"/>
    <w:rsid w:val="00C9618C"/>
    <w:rsid w:val="00C97361"/>
    <w:rsid w:val="00CA1FA0"/>
    <w:rsid w:val="00CA20C5"/>
    <w:rsid w:val="00CA37A5"/>
    <w:rsid w:val="00CA382B"/>
    <w:rsid w:val="00CA4466"/>
    <w:rsid w:val="00CA4EA0"/>
    <w:rsid w:val="00CA4EB9"/>
    <w:rsid w:val="00CA5C06"/>
    <w:rsid w:val="00CA7396"/>
    <w:rsid w:val="00CA7743"/>
    <w:rsid w:val="00CB2253"/>
    <w:rsid w:val="00CB24B8"/>
    <w:rsid w:val="00CB37E4"/>
    <w:rsid w:val="00CB6143"/>
    <w:rsid w:val="00CB76C0"/>
    <w:rsid w:val="00CB7BF6"/>
    <w:rsid w:val="00CC101D"/>
    <w:rsid w:val="00CC276C"/>
    <w:rsid w:val="00CC2C66"/>
    <w:rsid w:val="00CC36A0"/>
    <w:rsid w:val="00CC36B6"/>
    <w:rsid w:val="00CC47EC"/>
    <w:rsid w:val="00CC77D9"/>
    <w:rsid w:val="00CD01A9"/>
    <w:rsid w:val="00CD02F0"/>
    <w:rsid w:val="00CD049C"/>
    <w:rsid w:val="00CD0E94"/>
    <w:rsid w:val="00CD119C"/>
    <w:rsid w:val="00CD1BC6"/>
    <w:rsid w:val="00CD28FF"/>
    <w:rsid w:val="00CD30C9"/>
    <w:rsid w:val="00CD6641"/>
    <w:rsid w:val="00CD6932"/>
    <w:rsid w:val="00CD724F"/>
    <w:rsid w:val="00CE23FA"/>
    <w:rsid w:val="00CE2E38"/>
    <w:rsid w:val="00CE3A97"/>
    <w:rsid w:val="00CE4521"/>
    <w:rsid w:val="00CE4A27"/>
    <w:rsid w:val="00CE53D5"/>
    <w:rsid w:val="00CE600F"/>
    <w:rsid w:val="00CE7C38"/>
    <w:rsid w:val="00CF15A0"/>
    <w:rsid w:val="00CF2FBA"/>
    <w:rsid w:val="00CF34BE"/>
    <w:rsid w:val="00CF3E8B"/>
    <w:rsid w:val="00CF45A4"/>
    <w:rsid w:val="00CF682D"/>
    <w:rsid w:val="00CF7A9F"/>
    <w:rsid w:val="00CF7CFC"/>
    <w:rsid w:val="00D04064"/>
    <w:rsid w:val="00D04523"/>
    <w:rsid w:val="00D04A5C"/>
    <w:rsid w:val="00D050B2"/>
    <w:rsid w:val="00D0584F"/>
    <w:rsid w:val="00D0689A"/>
    <w:rsid w:val="00D07345"/>
    <w:rsid w:val="00D119DD"/>
    <w:rsid w:val="00D13127"/>
    <w:rsid w:val="00D1399A"/>
    <w:rsid w:val="00D142E1"/>
    <w:rsid w:val="00D16CED"/>
    <w:rsid w:val="00D17C33"/>
    <w:rsid w:val="00D209AC"/>
    <w:rsid w:val="00D219EF"/>
    <w:rsid w:val="00D2250D"/>
    <w:rsid w:val="00D22AE6"/>
    <w:rsid w:val="00D23B39"/>
    <w:rsid w:val="00D245C1"/>
    <w:rsid w:val="00D246A9"/>
    <w:rsid w:val="00D27BA7"/>
    <w:rsid w:val="00D3049B"/>
    <w:rsid w:val="00D30ECA"/>
    <w:rsid w:val="00D32488"/>
    <w:rsid w:val="00D32514"/>
    <w:rsid w:val="00D32593"/>
    <w:rsid w:val="00D3443E"/>
    <w:rsid w:val="00D37EDF"/>
    <w:rsid w:val="00D4676F"/>
    <w:rsid w:val="00D4678C"/>
    <w:rsid w:val="00D46E68"/>
    <w:rsid w:val="00D51463"/>
    <w:rsid w:val="00D5246D"/>
    <w:rsid w:val="00D5346C"/>
    <w:rsid w:val="00D537B9"/>
    <w:rsid w:val="00D54251"/>
    <w:rsid w:val="00D611E7"/>
    <w:rsid w:val="00D6252E"/>
    <w:rsid w:val="00D6499C"/>
    <w:rsid w:val="00D64DEF"/>
    <w:rsid w:val="00D64F46"/>
    <w:rsid w:val="00D657BA"/>
    <w:rsid w:val="00D65905"/>
    <w:rsid w:val="00D6608C"/>
    <w:rsid w:val="00D72AAA"/>
    <w:rsid w:val="00D74803"/>
    <w:rsid w:val="00D75B27"/>
    <w:rsid w:val="00D76646"/>
    <w:rsid w:val="00D803FE"/>
    <w:rsid w:val="00D804C1"/>
    <w:rsid w:val="00D81601"/>
    <w:rsid w:val="00D83AFD"/>
    <w:rsid w:val="00D83DF6"/>
    <w:rsid w:val="00D8507B"/>
    <w:rsid w:val="00D85A4D"/>
    <w:rsid w:val="00D90883"/>
    <w:rsid w:val="00D90B2A"/>
    <w:rsid w:val="00D921D2"/>
    <w:rsid w:val="00D92485"/>
    <w:rsid w:val="00D9413F"/>
    <w:rsid w:val="00D94F00"/>
    <w:rsid w:val="00D95DB6"/>
    <w:rsid w:val="00D96F85"/>
    <w:rsid w:val="00DA0459"/>
    <w:rsid w:val="00DA1101"/>
    <w:rsid w:val="00DA157E"/>
    <w:rsid w:val="00DA21E4"/>
    <w:rsid w:val="00DA3CFA"/>
    <w:rsid w:val="00DA3F88"/>
    <w:rsid w:val="00DA47DC"/>
    <w:rsid w:val="00DA48A2"/>
    <w:rsid w:val="00DA721A"/>
    <w:rsid w:val="00DB0034"/>
    <w:rsid w:val="00DB0684"/>
    <w:rsid w:val="00DB542E"/>
    <w:rsid w:val="00DB5DDB"/>
    <w:rsid w:val="00DB5E80"/>
    <w:rsid w:val="00DB6242"/>
    <w:rsid w:val="00DC0DBA"/>
    <w:rsid w:val="00DC0FC0"/>
    <w:rsid w:val="00DC27C8"/>
    <w:rsid w:val="00DC3DD8"/>
    <w:rsid w:val="00DC4B1D"/>
    <w:rsid w:val="00DD01F9"/>
    <w:rsid w:val="00DD0A40"/>
    <w:rsid w:val="00DD0AF5"/>
    <w:rsid w:val="00DD1AFA"/>
    <w:rsid w:val="00DD3076"/>
    <w:rsid w:val="00DD3376"/>
    <w:rsid w:val="00DD3FA0"/>
    <w:rsid w:val="00DD40D8"/>
    <w:rsid w:val="00DD532A"/>
    <w:rsid w:val="00DD65BB"/>
    <w:rsid w:val="00DD6EC1"/>
    <w:rsid w:val="00DD7EB2"/>
    <w:rsid w:val="00DE0B97"/>
    <w:rsid w:val="00DE19B4"/>
    <w:rsid w:val="00DE6C78"/>
    <w:rsid w:val="00DE754E"/>
    <w:rsid w:val="00DE7CE6"/>
    <w:rsid w:val="00DF0541"/>
    <w:rsid w:val="00DF0E9F"/>
    <w:rsid w:val="00DF267F"/>
    <w:rsid w:val="00DF2C15"/>
    <w:rsid w:val="00DF4CCC"/>
    <w:rsid w:val="00DF653B"/>
    <w:rsid w:val="00E00731"/>
    <w:rsid w:val="00E02656"/>
    <w:rsid w:val="00E029AC"/>
    <w:rsid w:val="00E02A86"/>
    <w:rsid w:val="00E02DA8"/>
    <w:rsid w:val="00E034F8"/>
    <w:rsid w:val="00E03BDC"/>
    <w:rsid w:val="00E0529D"/>
    <w:rsid w:val="00E057FA"/>
    <w:rsid w:val="00E059CA"/>
    <w:rsid w:val="00E0723F"/>
    <w:rsid w:val="00E07467"/>
    <w:rsid w:val="00E0774B"/>
    <w:rsid w:val="00E07771"/>
    <w:rsid w:val="00E07D8E"/>
    <w:rsid w:val="00E15FB8"/>
    <w:rsid w:val="00E16738"/>
    <w:rsid w:val="00E17110"/>
    <w:rsid w:val="00E1741B"/>
    <w:rsid w:val="00E17558"/>
    <w:rsid w:val="00E208F0"/>
    <w:rsid w:val="00E20CF6"/>
    <w:rsid w:val="00E21A1E"/>
    <w:rsid w:val="00E23286"/>
    <w:rsid w:val="00E23658"/>
    <w:rsid w:val="00E23D2C"/>
    <w:rsid w:val="00E25643"/>
    <w:rsid w:val="00E2652F"/>
    <w:rsid w:val="00E27E09"/>
    <w:rsid w:val="00E27FE9"/>
    <w:rsid w:val="00E307AF"/>
    <w:rsid w:val="00E30ABD"/>
    <w:rsid w:val="00E3172F"/>
    <w:rsid w:val="00E331CB"/>
    <w:rsid w:val="00E344B9"/>
    <w:rsid w:val="00E40A28"/>
    <w:rsid w:val="00E40C2D"/>
    <w:rsid w:val="00E42B8A"/>
    <w:rsid w:val="00E43E95"/>
    <w:rsid w:val="00E44593"/>
    <w:rsid w:val="00E466EA"/>
    <w:rsid w:val="00E472F1"/>
    <w:rsid w:val="00E476C1"/>
    <w:rsid w:val="00E501EA"/>
    <w:rsid w:val="00E50892"/>
    <w:rsid w:val="00E51CD4"/>
    <w:rsid w:val="00E55ABA"/>
    <w:rsid w:val="00E56139"/>
    <w:rsid w:val="00E610A4"/>
    <w:rsid w:val="00E6134F"/>
    <w:rsid w:val="00E622B6"/>
    <w:rsid w:val="00E623C6"/>
    <w:rsid w:val="00E631D0"/>
    <w:rsid w:val="00E650BE"/>
    <w:rsid w:val="00E65F61"/>
    <w:rsid w:val="00E672D3"/>
    <w:rsid w:val="00E702FA"/>
    <w:rsid w:val="00E711B8"/>
    <w:rsid w:val="00E7158D"/>
    <w:rsid w:val="00E7170F"/>
    <w:rsid w:val="00E7183F"/>
    <w:rsid w:val="00E731BD"/>
    <w:rsid w:val="00E73307"/>
    <w:rsid w:val="00E73B47"/>
    <w:rsid w:val="00E80645"/>
    <w:rsid w:val="00E8557A"/>
    <w:rsid w:val="00E85EF5"/>
    <w:rsid w:val="00E86585"/>
    <w:rsid w:val="00E87885"/>
    <w:rsid w:val="00E87F81"/>
    <w:rsid w:val="00E9039C"/>
    <w:rsid w:val="00E9089D"/>
    <w:rsid w:val="00E91008"/>
    <w:rsid w:val="00E93268"/>
    <w:rsid w:val="00E9495B"/>
    <w:rsid w:val="00E94AA1"/>
    <w:rsid w:val="00E96976"/>
    <w:rsid w:val="00E96BA4"/>
    <w:rsid w:val="00EA0971"/>
    <w:rsid w:val="00EA1318"/>
    <w:rsid w:val="00EA1773"/>
    <w:rsid w:val="00EA3650"/>
    <w:rsid w:val="00EA5B73"/>
    <w:rsid w:val="00EA6D55"/>
    <w:rsid w:val="00EA6F1D"/>
    <w:rsid w:val="00EA7385"/>
    <w:rsid w:val="00EA755B"/>
    <w:rsid w:val="00EB00CC"/>
    <w:rsid w:val="00EB0610"/>
    <w:rsid w:val="00EB0CA5"/>
    <w:rsid w:val="00EB1D7D"/>
    <w:rsid w:val="00EB231F"/>
    <w:rsid w:val="00EB2BA7"/>
    <w:rsid w:val="00EB3935"/>
    <w:rsid w:val="00EB57A5"/>
    <w:rsid w:val="00EB5FCF"/>
    <w:rsid w:val="00EB6393"/>
    <w:rsid w:val="00EB690B"/>
    <w:rsid w:val="00EB6BC9"/>
    <w:rsid w:val="00EC034E"/>
    <w:rsid w:val="00EC0A85"/>
    <w:rsid w:val="00EC1973"/>
    <w:rsid w:val="00EC2693"/>
    <w:rsid w:val="00EC2747"/>
    <w:rsid w:val="00EC4055"/>
    <w:rsid w:val="00EC4EE3"/>
    <w:rsid w:val="00EC7E3B"/>
    <w:rsid w:val="00ED1A66"/>
    <w:rsid w:val="00ED1BCC"/>
    <w:rsid w:val="00ED3030"/>
    <w:rsid w:val="00ED5B5F"/>
    <w:rsid w:val="00ED735C"/>
    <w:rsid w:val="00ED7EBA"/>
    <w:rsid w:val="00EE0697"/>
    <w:rsid w:val="00EE06FF"/>
    <w:rsid w:val="00EE2293"/>
    <w:rsid w:val="00EE2A72"/>
    <w:rsid w:val="00EE41FA"/>
    <w:rsid w:val="00EE5353"/>
    <w:rsid w:val="00EE554D"/>
    <w:rsid w:val="00EE6A27"/>
    <w:rsid w:val="00EF01C4"/>
    <w:rsid w:val="00EF2197"/>
    <w:rsid w:val="00EF5A3B"/>
    <w:rsid w:val="00EF6763"/>
    <w:rsid w:val="00EF7328"/>
    <w:rsid w:val="00F000AB"/>
    <w:rsid w:val="00F00F02"/>
    <w:rsid w:val="00F00F72"/>
    <w:rsid w:val="00F01A44"/>
    <w:rsid w:val="00F01CA4"/>
    <w:rsid w:val="00F05BE4"/>
    <w:rsid w:val="00F07365"/>
    <w:rsid w:val="00F0742A"/>
    <w:rsid w:val="00F13517"/>
    <w:rsid w:val="00F14004"/>
    <w:rsid w:val="00F15353"/>
    <w:rsid w:val="00F1662D"/>
    <w:rsid w:val="00F20B2F"/>
    <w:rsid w:val="00F2105C"/>
    <w:rsid w:val="00F21F15"/>
    <w:rsid w:val="00F236F4"/>
    <w:rsid w:val="00F23BD8"/>
    <w:rsid w:val="00F23E2B"/>
    <w:rsid w:val="00F23E2C"/>
    <w:rsid w:val="00F24043"/>
    <w:rsid w:val="00F241EA"/>
    <w:rsid w:val="00F24D8F"/>
    <w:rsid w:val="00F25738"/>
    <w:rsid w:val="00F26215"/>
    <w:rsid w:val="00F262D2"/>
    <w:rsid w:val="00F27ADC"/>
    <w:rsid w:val="00F305E2"/>
    <w:rsid w:val="00F352CB"/>
    <w:rsid w:val="00F35C7F"/>
    <w:rsid w:val="00F35E17"/>
    <w:rsid w:val="00F404DC"/>
    <w:rsid w:val="00F436DF"/>
    <w:rsid w:val="00F43EA1"/>
    <w:rsid w:val="00F44092"/>
    <w:rsid w:val="00F44AD8"/>
    <w:rsid w:val="00F4581D"/>
    <w:rsid w:val="00F46142"/>
    <w:rsid w:val="00F479E3"/>
    <w:rsid w:val="00F47CAB"/>
    <w:rsid w:val="00F47CEF"/>
    <w:rsid w:val="00F50990"/>
    <w:rsid w:val="00F5194C"/>
    <w:rsid w:val="00F525FF"/>
    <w:rsid w:val="00F52B89"/>
    <w:rsid w:val="00F54150"/>
    <w:rsid w:val="00F5582E"/>
    <w:rsid w:val="00F56E97"/>
    <w:rsid w:val="00F60A06"/>
    <w:rsid w:val="00F610DA"/>
    <w:rsid w:val="00F62F39"/>
    <w:rsid w:val="00F64785"/>
    <w:rsid w:val="00F6613A"/>
    <w:rsid w:val="00F67830"/>
    <w:rsid w:val="00F70064"/>
    <w:rsid w:val="00F703E1"/>
    <w:rsid w:val="00F704E9"/>
    <w:rsid w:val="00F706F3"/>
    <w:rsid w:val="00F7082E"/>
    <w:rsid w:val="00F73175"/>
    <w:rsid w:val="00F73D8E"/>
    <w:rsid w:val="00F748C8"/>
    <w:rsid w:val="00F74A04"/>
    <w:rsid w:val="00F751B8"/>
    <w:rsid w:val="00F764F9"/>
    <w:rsid w:val="00F80356"/>
    <w:rsid w:val="00F8298A"/>
    <w:rsid w:val="00F82D76"/>
    <w:rsid w:val="00F86243"/>
    <w:rsid w:val="00F9516E"/>
    <w:rsid w:val="00F97881"/>
    <w:rsid w:val="00FA064C"/>
    <w:rsid w:val="00FA0944"/>
    <w:rsid w:val="00FA2B2D"/>
    <w:rsid w:val="00FA6722"/>
    <w:rsid w:val="00FA75FB"/>
    <w:rsid w:val="00FA7C3C"/>
    <w:rsid w:val="00FB1257"/>
    <w:rsid w:val="00FB2752"/>
    <w:rsid w:val="00FB428E"/>
    <w:rsid w:val="00FB4BBE"/>
    <w:rsid w:val="00FB57B4"/>
    <w:rsid w:val="00FB706B"/>
    <w:rsid w:val="00FC128B"/>
    <w:rsid w:val="00FC3054"/>
    <w:rsid w:val="00FC354F"/>
    <w:rsid w:val="00FC3CE9"/>
    <w:rsid w:val="00FC4E44"/>
    <w:rsid w:val="00FC7C5F"/>
    <w:rsid w:val="00FD0127"/>
    <w:rsid w:val="00FD25B8"/>
    <w:rsid w:val="00FD3242"/>
    <w:rsid w:val="00FD33E7"/>
    <w:rsid w:val="00FD3F35"/>
    <w:rsid w:val="00FD57C5"/>
    <w:rsid w:val="00FD5B72"/>
    <w:rsid w:val="00FD61D6"/>
    <w:rsid w:val="00FD683F"/>
    <w:rsid w:val="00FE16C3"/>
    <w:rsid w:val="00FE1E7C"/>
    <w:rsid w:val="00FE2350"/>
    <w:rsid w:val="00FE2853"/>
    <w:rsid w:val="00FE375A"/>
    <w:rsid w:val="00FE43D0"/>
    <w:rsid w:val="00FE44C9"/>
    <w:rsid w:val="00FE450C"/>
    <w:rsid w:val="00FE67C1"/>
    <w:rsid w:val="00FE7666"/>
    <w:rsid w:val="00FE770A"/>
    <w:rsid w:val="00FE7936"/>
    <w:rsid w:val="00FF090A"/>
    <w:rsid w:val="00FF0E06"/>
    <w:rsid w:val="00FF0E10"/>
    <w:rsid w:val="00FF1A1D"/>
    <w:rsid w:val="00FF3E60"/>
    <w:rsid w:val="00FF48C0"/>
    <w:rsid w:val="00FF5C5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DC3DBF8E-6A75-4FD3-84C2-F6F9926C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3E7"/>
    <w:rPr>
      <w:sz w:val="24"/>
      <w:szCs w:val="24"/>
    </w:rPr>
  </w:style>
  <w:style w:type="paragraph" w:styleId="Titre1">
    <w:name w:val="heading 1"/>
    <w:basedOn w:val="Normal"/>
    <w:next w:val="Normal"/>
    <w:link w:val="Titre1Car"/>
    <w:qFormat/>
    <w:rsid w:val="00CA1FA0"/>
    <w:pPr>
      <w:keepNext/>
      <w:keepLines/>
      <w:spacing w:before="240"/>
      <w:outlineLvl w:val="0"/>
    </w:pPr>
    <w:rPr>
      <w:rFonts w:asciiTheme="majorHAnsi" w:eastAsiaTheme="majorEastAsia" w:hAnsiTheme="majorHAnsi" w:cstheme="majorBidi"/>
      <w:sz w:val="32"/>
      <w:szCs w:val="32"/>
    </w:rPr>
  </w:style>
  <w:style w:type="paragraph" w:styleId="Titre2">
    <w:name w:val="heading 2"/>
    <w:basedOn w:val="Normal"/>
    <w:next w:val="Normal"/>
    <w:link w:val="Titre2Car"/>
    <w:semiHidden/>
    <w:unhideWhenUsed/>
    <w:qFormat/>
    <w:rsid w:val="005C4720"/>
    <w:pPr>
      <w:keepNext/>
      <w:keepLines/>
      <w:spacing w:before="40"/>
      <w:outlineLvl w:val="1"/>
    </w:pPr>
    <w:rPr>
      <w:rFonts w:ascii="Verdana" w:eastAsiaTheme="majorEastAsia" w:hAnsi="Verdana" w:cstheme="majorBidi"/>
      <w:b/>
      <w:sz w:val="20"/>
      <w:szCs w:val="26"/>
    </w:rPr>
  </w:style>
  <w:style w:type="paragraph" w:styleId="Titre3">
    <w:name w:val="heading 3"/>
    <w:basedOn w:val="Normal"/>
    <w:next w:val="Normal"/>
    <w:link w:val="Titre3Car"/>
    <w:semiHidden/>
    <w:unhideWhenUsed/>
    <w:qFormat/>
    <w:rsid w:val="009344BB"/>
    <w:pPr>
      <w:keepNext/>
      <w:keepLines/>
      <w:spacing w:before="40"/>
      <w:outlineLvl w:val="2"/>
    </w:pPr>
    <w:rPr>
      <w:rFonts w:ascii="Verdana" w:eastAsiaTheme="majorEastAsia" w:hAnsi="Verdana" w:cstheme="majorBidi"/>
      <w:sz w:val="20"/>
    </w:rPr>
  </w:style>
  <w:style w:type="paragraph" w:styleId="Titre4">
    <w:name w:val="heading 4"/>
    <w:basedOn w:val="Normal"/>
    <w:next w:val="Normal"/>
    <w:link w:val="Titre4Car"/>
    <w:semiHidden/>
    <w:unhideWhenUsed/>
    <w:qFormat/>
    <w:rsid w:val="007261C6"/>
    <w:pPr>
      <w:keepNext/>
      <w:keepLines/>
      <w:spacing w:before="40"/>
      <w:outlineLvl w:val="3"/>
    </w:pPr>
    <w:rPr>
      <w:rFonts w:asciiTheme="majorHAnsi" w:eastAsiaTheme="majorEastAsia" w:hAnsiTheme="majorHAnsi" w:cstheme="majorBidi"/>
      <w:i/>
      <w:iCs/>
      <w:color w:val="2E74B5" w:themeColor="accent1" w:themeShade="BF"/>
    </w:rPr>
  </w:style>
  <w:style w:type="paragraph" w:styleId="Titre8">
    <w:name w:val="heading 8"/>
    <w:basedOn w:val="Normal"/>
    <w:next w:val="Normal"/>
    <w:link w:val="Titre8Car"/>
    <w:uiPriority w:val="9"/>
    <w:semiHidden/>
    <w:unhideWhenUsed/>
    <w:qFormat/>
    <w:rsid w:val="00AA6301"/>
    <w:pPr>
      <w:keepNext/>
      <w:keepLines/>
      <w:outlineLvl w:val="7"/>
    </w:pPr>
    <w:rPr>
      <w:rFonts w:eastAsiaTheme="majorEastAsia" w:cstheme="majorBidi"/>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25643"/>
    <w:pPr>
      <w:tabs>
        <w:tab w:val="center" w:pos="4536"/>
        <w:tab w:val="right" w:pos="9072"/>
      </w:tabs>
    </w:pPr>
  </w:style>
  <w:style w:type="paragraph" w:styleId="Pieddepage">
    <w:name w:val="footer"/>
    <w:basedOn w:val="Normal"/>
    <w:link w:val="PieddepageCar"/>
    <w:uiPriority w:val="99"/>
    <w:rsid w:val="00E25643"/>
    <w:pPr>
      <w:tabs>
        <w:tab w:val="center" w:pos="4536"/>
        <w:tab w:val="right" w:pos="9072"/>
      </w:tabs>
    </w:pPr>
  </w:style>
  <w:style w:type="character" w:styleId="Lienhypertexte">
    <w:name w:val="Hyperlink"/>
    <w:rsid w:val="005A3FC3"/>
    <w:rPr>
      <w:color w:val="0000FF"/>
      <w:u w:val="single"/>
    </w:rPr>
  </w:style>
  <w:style w:type="paragraph" w:styleId="Textedebulles">
    <w:name w:val="Balloon Text"/>
    <w:basedOn w:val="Normal"/>
    <w:link w:val="TextedebullesCar"/>
    <w:rsid w:val="009E3037"/>
    <w:rPr>
      <w:rFonts w:ascii="Tahoma" w:hAnsi="Tahoma" w:cs="Tahoma"/>
      <w:sz w:val="16"/>
      <w:szCs w:val="16"/>
    </w:rPr>
  </w:style>
  <w:style w:type="character" w:customStyle="1" w:styleId="TextedebullesCar">
    <w:name w:val="Texte de bulles Car"/>
    <w:link w:val="Textedebulles"/>
    <w:rsid w:val="009E3037"/>
    <w:rPr>
      <w:rFonts w:ascii="Tahoma" w:hAnsi="Tahoma" w:cs="Tahoma"/>
      <w:sz w:val="16"/>
      <w:szCs w:val="16"/>
    </w:rPr>
  </w:style>
  <w:style w:type="character" w:customStyle="1" w:styleId="PieddepageCar">
    <w:name w:val="Pied de page Car"/>
    <w:link w:val="Pieddepage"/>
    <w:uiPriority w:val="99"/>
    <w:rsid w:val="00A71315"/>
    <w:rPr>
      <w:sz w:val="24"/>
      <w:szCs w:val="24"/>
    </w:rPr>
  </w:style>
  <w:style w:type="table" w:styleId="Grilledutableau">
    <w:name w:val="Table Grid"/>
    <w:basedOn w:val="TableauNormal"/>
    <w:uiPriority w:val="39"/>
    <w:rsid w:val="00714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615CB"/>
    <w:pPr>
      <w:ind w:left="708"/>
    </w:pPr>
  </w:style>
  <w:style w:type="character" w:customStyle="1" w:styleId="Titre1Car">
    <w:name w:val="Titre 1 Car"/>
    <w:basedOn w:val="Policepardfaut"/>
    <w:link w:val="Titre1"/>
    <w:rsid w:val="00CA1FA0"/>
    <w:rPr>
      <w:rFonts w:asciiTheme="majorHAnsi" w:eastAsiaTheme="majorEastAsia" w:hAnsiTheme="majorHAnsi" w:cstheme="majorBidi"/>
      <w:sz w:val="32"/>
      <w:szCs w:val="32"/>
    </w:rPr>
  </w:style>
  <w:style w:type="character" w:customStyle="1" w:styleId="Titre2Car">
    <w:name w:val="Titre 2 Car"/>
    <w:basedOn w:val="Policepardfaut"/>
    <w:link w:val="Titre2"/>
    <w:semiHidden/>
    <w:rsid w:val="005C4720"/>
    <w:rPr>
      <w:rFonts w:ascii="Verdana" w:eastAsiaTheme="majorEastAsia" w:hAnsi="Verdana" w:cstheme="majorBidi"/>
      <w:b/>
      <w:szCs w:val="26"/>
    </w:rPr>
  </w:style>
  <w:style w:type="character" w:customStyle="1" w:styleId="Titre3Car">
    <w:name w:val="Titre 3 Car"/>
    <w:basedOn w:val="Policepardfaut"/>
    <w:link w:val="Titre3"/>
    <w:semiHidden/>
    <w:rsid w:val="009344BB"/>
    <w:rPr>
      <w:rFonts w:ascii="Verdana" w:eastAsiaTheme="majorEastAsia" w:hAnsi="Verdana" w:cstheme="majorBidi"/>
      <w:szCs w:val="24"/>
    </w:rPr>
  </w:style>
  <w:style w:type="character" w:customStyle="1" w:styleId="Mentionnonrsolue1">
    <w:name w:val="Mention non résolue1"/>
    <w:basedOn w:val="Policepardfaut"/>
    <w:uiPriority w:val="99"/>
    <w:semiHidden/>
    <w:unhideWhenUsed/>
    <w:rsid w:val="00F44092"/>
    <w:rPr>
      <w:color w:val="605E5C"/>
      <w:shd w:val="clear" w:color="auto" w:fill="E1DFDD"/>
    </w:rPr>
  </w:style>
  <w:style w:type="character" w:styleId="Accentuation">
    <w:name w:val="Emphasis"/>
    <w:basedOn w:val="Policepardfaut"/>
    <w:qFormat/>
    <w:rsid w:val="001303D1"/>
    <w:rPr>
      <w:i/>
      <w:iCs/>
    </w:rPr>
  </w:style>
  <w:style w:type="paragraph" w:styleId="NormalWeb">
    <w:name w:val="Normal (Web)"/>
    <w:basedOn w:val="Normal"/>
    <w:uiPriority w:val="99"/>
    <w:rsid w:val="00FF0E10"/>
  </w:style>
  <w:style w:type="character" w:customStyle="1" w:styleId="Titre8Car">
    <w:name w:val="Titre 8 Car"/>
    <w:basedOn w:val="Policepardfaut"/>
    <w:link w:val="Titre8"/>
    <w:uiPriority w:val="9"/>
    <w:semiHidden/>
    <w:rsid w:val="00AA6301"/>
    <w:rPr>
      <w:rFonts w:eastAsiaTheme="majorEastAsia" w:cstheme="majorBidi"/>
      <w:i/>
      <w:iCs/>
      <w:color w:val="272727" w:themeColor="text1" w:themeTint="D8"/>
      <w:sz w:val="24"/>
      <w:szCs w:val="24"/>
    </w:rPr>
  </w:style>
  <w:style w:type="character" w:customStyle="1" w:styleId="Titre4Car">
    <w:name w:val="Titre 4 Car"/>
    <w:basedOn w:val="Policepardfaut"/>
    <w:link w:val="Titre4"/>
    <w:semiHidden/>
    <w:rsid w:val="007261C6"/>
    <w:rPr>
      <w:rFonts w:asciiTheme="majorHAnsi" w:eastAsiaTheme="majorEastAsia" w:hAnsiTheme="majorHAnsi" w:cstheme="majorBidi"/>
      <w:i/>
      <w:iCs/>
      <w:color w:val="2E74B5" w:themeColor="accent1" w:themeShade="BF"/>
      <w:sz w:val="24"/>
      <w:szCs w:val="24"/>
    </w:rPr>
  </w:style>
  <w:style w:type="paragraph" w:styleId="Rvision">
    <w:name w:val="Revision"/>
    <w:hidden/>
    <w:uiPriority w:val="99"/>
    <w:semiHidden/>
    <w:rsid w:val="00F82D76"/>
    <w:rPr>
      <w:sz w:val="24"/>
      <w:szCs w:val="24"/>
    </w:rPr>
  </w:style>
  <w:style w:type="character" w:styleId="Marquedecommentaire">
    <w:name w:val="annotation reference"/>
    <w:basedOn w:val="Policepardfaut"/>
    <w:rsid w:val="00EB1D7D"/>
    <w:rPr>
      <w:sz w:val="16"/>
      <w:szCs w:val="16"/>
    </w:rPr>
  </w:style>
  <w:style w:type="paragraph" w:styleId="Commentaire">
    <w:name w:val="annotation text"/>
    <w:basedOn w:val="Normal"/>
    <w:link w:val="CommentaireCar"/>
    <w:rsid w:val="00EB1D7D"/>
    <w:rPr>
      <w:sz w:val="20"/>
      <w:szCs w:val="20"/>
    </w:rPr>
  </w:style>
  <w:style w:type="character" w:customStyle="1" w:styleId="CommentaireCar">
    <w:name w:val="Commentaire Car"/>
    <w:basedOn w:val="Policepardfaut"/>
    <w:link w:val="Commentaire"/>
    <w:rsid w:val="00EB1D7D"/>
  </w:style>
  <w:style w:type="paragraph" w:styleId="Objetducommentaire">
    <w:name w:val="annotation subject"/>
    <w:basedOn w:val="Commentaire"/>
    <w:next w:val="Commentaire"/>
    <w:link w:val="ObjetducommentaireCar"/>
    <w:rsid w:val="00EB1D7D"/>
    <w:rPr>
      <w:b/>
      <w:bCs/>
    </w:rPr>
  </w:style>
  <w:style w:type="character" w:customStyle="1" w:styleId="ObjetducommentaireCar">
    <w:name w:val="Objet du commentaire Car"/>
    <w:basedOn w:val="CommentaireCar"/>
    <w:link w:val="Objetducommentaire"/>
    <w:rsid w:val="00EB1D7D"/>
    <w:rPr>
      <w:b/>
      <w:bCs/>
    </w:rPr>
  </w:style>
  <w:style w:type="character" w:styleId="lev">
    <w:name w:val="Strong"/>
    <w:basedOn w:val="Policepardfaut"/>
    <w:uiPriority w:val="22"/>
    <w:qFormat/>
    <w:rsid w:val="00B757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161">
      <w:bodyDiv w:val="1"/>
      <w:marLeft w:val="0"/>
      <w:marRight w:val="0"/>
      <w:marTop w:val="0"/>
      <w:marBottom w:val="0"/>
      <w:divBdr>
        <w:top w:val="none" w:sz="0" w:space="0" w:color="auto"/>
        <w:left w:val="none" w:sz="0" w:space="0" w:color="auto"/>
        <w:bottom w:val="none" w:sz="0" w:space="0" w:color="auto"/>
        <w:right w:val="none" w:sz="0" w:space="0" w:color="auto"/>
      </w:divBdr>
    </w:div>
    <w:div w:id="13312274">
      <w:bodyDiv w:val="1"/>
      <w:marLeft w:val="0"/>
      <w:marRight w:val="0"/>
      <w:marTop w:val="0"/>
      <w:marBottom w:val="0"/>
      <w:divBdr>
        <w:top w:val="none" w:sz="0" w:space="0" w:color="auto"/>
        <w:left w:val="none" w:sz="0" w:space="0" w:color="auto"/>
        <w:bottom w:val="none" w:sz="0" w:space="0" w:color="auto"/>
        <w:right w:val="none" w:sz="0" w:space="0" w:color="auto"/>
      </w:divBdr>
    </w:div>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54161492">
      <w:bodyDiv w:val="1"/>
      <w:marLeft w:val="0"/>
      <w:marRight w:val="0"/>
      <w:marTop w:val="0"/>
      <w:marBottom w:val="0"/>
      <w:divBdr>
        <w:top w:val="none" w:sz="0" w:space="0" w:color="auto"/>
        <w:left w:val="none" w:sz="0" w:space="0" w:color="auto"/>
        <w:bottom w:val="none" w:sz="0" w:space="0" w:color="auto"/>
        <w:right w:val="none" w:sz="0" w:space="0" w:color="auto"/>
      </w:divBdr>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06195657">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62009867">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37860288">
      <w:bodyDiv w:val="1"/>
      <w:marLeft w:val="0"/>
      <w:marRight w:val="0"/>
      <w:marTop w:val="0"/>
      <w:marBottom w:val="0"/>
      <w:divBdr>
        <w:top w:val="none" w:sz="0" w:space="0" w:color="auto"/>
        <w:left w:val="none" w:sz="0" w:space="0" w:color="auto"/>
        <w:bottom w:val="none" w:sz="0" w:space="0" w:color="auto"/>
        <w:right w:val="none" w:sz="0" w:space="0" w:color="auto"/>
      </w:divBdr>
    </w:div>
    <w:div w:id="238714354">
      <w:bodyDiv w:val="1"/>
      <w:marLeft w:val="0"/>
      <w:marRight w:val="0"/>
      <w:marTop w:val="0"/>
      <w:marBottom w:val="0"/>
      <w:divBdr>
        <w:top w:val="none" w:sz="0" w:space="0" w:color="auto"/>
        <w:left w:val="none" w:sz="0" w:space="0" w:color="auto"/>
        <w:bottom w:val="none" w:sz="0" w:space="0" w:color="auto"/>
        <w:right w:val="none" w:sz="0" w:space="0" w:color="auto"/>
      </w:divBdr>
    </w:div>
    <w:div w:id="238944331">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41979031">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83796557">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28622505">
      <w:bodyDiv w:val="1"/>
      <w:marLeft w:val="0"/>
      <w:marRight w:val="0"/>
      <w:marTop w:val="0"/>
      <w:marBottom w:val="0"/>
      <w:divBdr>
        <w:top w:val="none" w:sz="0" w:space="0" w:color="auto"/>
        <w:left w:val="none" w:sz="0" w:space="0" w:color="auto"/>
        <w:bottom w:val="none" w:sz="0" w:space="0" w:color="auto"/>
        <w:right w:val="none" w:sz="0" w:space="0" w:color="auto"/>
      </w:divBdr>
    </w:div>
    <w:div w:id="429811664">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496266341">
      <w:bodyDiv w:val="1"/>
      <w:marLeft w:val="0"/>
      <w:marRight w:val="0"/>
      <w:marTop w:val="0"/>
      <w:marBottom w:val="0"/>
      <w:divBdr>
        <w:top w:val="none" w:sz="0" w:space="0" w:color="auto"/>
        <w:left w:val="none" w:sz="0" w:space="0" w:color="auto"/>
        <w:bottom w:val="none" w:sz="0" w:space="0" w:color="auto"/>
        <w:right w:val="none" w:sz="0" w:space="0" w:color="auto"/>
      </w:divBdr>
    </w:div>
    <w:div w:id="535587454">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599411066">
      <w:bodyDiv w:val="1"/>
      <w:marLeft w:val="0"/>
      <w:marRight w:val="0"/>
      <w:marTop w:val="0"/>
      <w:marBottom w:val="0"/>
      <w:divBdr>
        <w:top w:val="none" w:sz="0" w:space="0" w:color="auto"/>
        <w:left w:val="none" w:sz="0" w:space="0" w:color="auto"/>
        <w:bottom w:val="none" w:sz="0" w:space="0" w:color="auto"/>
        <w:right w:val="none" w:sz="0" w:space="0" w:color="auto"/>
      </w:divBdr>
      <w:divsChild>
        <w:div w:id="1396660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8589965">
      <w:bodyDiv w:val="1"/>
      <w:marLeft w:val="0"/>
      <w:marRight w:val="0"/>
      <w:marTop w:val="0"/>
      <w:marBottom w:val="0"/>
      <w:divBdr>
        <w:top w:val="none" w:sz="0" w:space="0" w:color="auto"/>
        <w:left w:val="none" w:sz="0" w:space="0" w:color="auto"/>
        <w:bottom w:val="none" w:sz="0" w:space="0" w:color="auto"/>
        <w:right w:val="none" w:sz="0" w:space="0" w:color="auto"/>
      </w:divBdr>
    </w:div>
    <w:div w:id="612589917">
      <w:bodyDiv w:val="1"/>
      <w:marLeft w:val="0"/>
      <w:marRight w:val="0"/>
      <w:marTop w:val="0"/>
      <w:marBottom w:val="0"/>
      <w:divBdr>
        <w:top w:val="none" w:sz="0" w:space="0" w:color="auto"/>
        <w:left w:val="none" w:sz="0" w:space="0" w:color="auto"/>
        <w:bottom w:val="none" w:sz="0" w:space="0" w:color="auto"/>
        <w:right w:val="none" w:sz="0" w:space="0" w:color="auto"/>
      </w:divBdr>
    </w:div>
    <w:div w:id="634063897">
      <w:bodyDiv w:val="1"/>
      <w:marLeft w:val="0"/>
      <w:marRight w:val="0"/>
      <w:marTop w:val="0"/>
      <w:marBottom w:val="0"/>
      <w:divBdr>
        <w:top w:val="none" w:sz="0" w:space="0" w:color="auto"/>
        <w:left w:val="none" w:sz="0" w:space="0" w:color="auto"/>
        <w:bottom w:val="none" w:sz="0" w:space="0" w:color="auto"/>
        <w:right w:val="none" w:sz="0" w:space="0" w:color="auto"/>
      </w:divBdr>
    </w:div>
    <w:div w:id="636304078">
      <w:bodyDiv w:val="1"/>
      <w:marLeft w:val="0"/>
      <w:marRight w:val="0"/>
      <w:marTop w:val="0"/>
      <w:marBottom w:val="0"/>
      <w:divBdr>
        <w:top w:val="none" w:sz="0" w:space="0" w:color="auto"/>
        <w:left w:val="none" w:sz="0" w:space="0" w:color="auto"/>
        <w:bottom w:val="none" w:sz="0" w:space="0" w:color="auto"/>
        <w:right w:val="none" w:sz="0" w:space="0" w:color="auto"/>
      </w:divBdr>
    </w:div>
    <w:div w:id="637302439">
      <w:bodyDiv w:val="1"/>
      <w:marLeft w:val="0"/>
      <w:marRight w:val="0"/>
      <w:marTop w:val="0"/>
      <w:marBottom w:val="0"/>
      <w:divBdr>
        <w:top w:val="none" w:sz="0" w:space="0" w:color="auto"/>
        <w:left w:val="none" w:sz="0" w:space="0" w:color="auto"/>
        <w:bottom w:val="none" w:sz="0" w:space="0" w:color="auto"/>
        <w:right w:val="none" w:sz="0" w:space="0" w:color="auto"/>
      </w:divBdr>
    </w:div>
    <w:div w:id="683557706">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699402380">
      <w:bodyDiv w:val="1"/>
      <w:marLeft w:val="0"/>
      <w:marRight w:val="0"/>
      <w:marTop w:val="0"/>
      <w:marBottom w:val="0"/>
      <w:divBdr>
        <w:top w:val="none" w:sz="0" w:space="0" w:color="auto"/>
        <w:left w:val="none" w:sz="0" w:space="0" w:color="auto"/>
        <w:bottom w:val="none" w:sz="0" w:space="0" w:color="auto"/>
        <w:right w:val="none" w:sz="0" w:space="0" w:color="auto"/>
      </w:divBdr>
    </w:div>
    <w:div w:id="701705742">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08606040">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81359711">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1255959">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09916264">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69969188">
      <w:bodyDiv w:val="1"/>
      <w:marLeft w:val="0"/>
      <w:marRight w:val="0"/>
      <w:marTop w:val="0"/>
      <w:marBottom w:val="0"/>
      <w:divBdr>
        <w:top w:val="none" w:sz="0" w:space="0" w:color="auto"/>
        <w:left w:val="none" w:sz="0" w:space="0" w:color="auto"/>
        <w:bottom w:val="none" w:sz="0" w:space="0" w:color="auto"/>
        <w:right w:val="none" w:sz="0" w:space="0" w:color="auto"/>
      </w:divBdr>
    </w:div>
    <w:div w:id="1284191878">
      <w:bodyDiv w:val="1"/>
      <w:marLeft w:val="0"/>
      <w:marRight w:val="0"/>
      <w:marTop w:val="0"/>
      <w:marBottom w:val="0"/>
      <w:divBdr>
        <w:top w:val="none" w:sz="0" w:space="0" w:color="auto"/>
        <w:left w:val="none" w:sz="0" w:space="0" w:color="auto"/>
        <w:bottom w:val="none" w:sz="0" w:space="0" w:color="auto"/>
        <w:right w:val="none" w:sz="0" w:space="0" w:color="auto"/>
      </w:divBdr>
    </w:div>
    <w:div w:id="1301880161">
      <w:bodyDiv w:val="1"/>
      <w:marLeft w:val="0"/>
      <w:marRight w:val="0"/>
      <w:marTop w:val="0"/>
      <w:marBottom w:val="0"/>
      <w:divBdr>
        <w:top w:val="none" w:sz="0" w:space="0" w:color="auto"/>
        <w:left w:val="none" w:sz="0" w:space="0" w:color="auto"/>
        <w:bottom w:val="none" w:sz="0" w:space="0" w:color="auto"/>
        <w:right w:val="none" w:sz="0" w:space="0" w:color="auto"/>
      </w:divBdr>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2434488">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85707318">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6727491">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05974355">
      <w:bodyDiv w:val="1"/>
      <w:marLeft w:val="0"/>
      <w:marRight w:val="0"/>
      <w:marTop w:val="0"/>
      <w:marBottom w:val="0"/>
      <w:divBdr>
        <w:top w:val="none" w:sz="0" w:space="0" w:color="auto"/>
        <w:left w:val="none" w:sz="0" w:space="0" w:color="auto"/>
        <w:bottom w:val="none" w:sz="0" w:space="0" w:color="auto"/>
        <w:right w:val="none" w:sz="0" w:space="0" w:color="auto"/>
      </w:divBdr>
    </w:div>
    <w:div w:id="1545558965">
      <w:bodyDiv w:val="1"/>
      <w:marLeft w:val="0"/>
      <w:marRight w:val="0"/>
      <w:marTop w:val="0"/>
      <w:marBottom w:val="0"/>
      <w:divBdr>
        <w:top w:val="none" w:sz="0" w:space="0" w:color="auto"/>
        <w:left w:val="none" w:sz="0" w:space="0" w:color="auto"/>
        <w:bottom w:val="none" w:sz="0" w:space="0" w:color="auto"/>
        <w:right w:val="none" w:sz="0" w:space="0" w:color="auto"/>
      </w:divBdr>
      <w:divsChild>
        <w:div w:id="603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575820524">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25454162">
      <w:bodyDiv w:val="1"/>
      <w:marLeft w:val="0"/>
      <w:marRight w:val="0"/>
      <w:marTop w:val="0"/>
      <w:marBottom w:val="0"/>
      <w:divBdr>
        <w:top w:val="none" w:sz="0" w:space="0" w:color="auto"/>
        <w:left w:val="none" w:sz="0" w:space="0" w:color="auto"/>
        <w:bottom w:val="none" w:sz="0" w:space="0" w:color="auto"/>
        <w:right w:val="none" w:sz="0" w:space="0" w:color="auto"/>
      </w:divBdr>
    </w:div>
    <w:div w:id="1632979096">
      <w:bodyDiv w:val="1"/>
      <w:marLeft w:val="0"/>
      <w:marRight w:val="0"/>
      <w:marTop w:val="0"/>
      <w:marBottom w:val="0"/>
      <w:divBdr>
        <w:top w:val="none" w:sz="0" w:space="0" w:color="auto"/>
        <w:left w:val="none" w:sz="0" w:space="0" w:color="auto"/>
        <w:bottom w:val="none" w:sz="0" w:space="0" w:color="auto"/>
        <w:right w:val="none" w:sz="0" w:space="0" w:color="auto"/>
      </w:divBdr>
    </w:div>
    <w:div w:id="1674989084">
      <w:bodyDiv w:val="1"/>
      <w:marLeft w:val="0"/>
      <w:marRight w:val="0"/>
      <w:marTop w:val="0"/>
      <w:marBottom w:val="0"/>
      <w:divBdr>
        <w:top w:val="none" w:sz="0" w:space="0" w:color="auto"/>
        <w:left w:val="none" w:sz="0" w:space="0" w:color="auto"/>
        <w:bottom w:val="none" w:sz="0" w:space="0" w:color="auto"/>
        <w:right w:val="none" w:sz="0" w:space="0" w:color="auto"/>
      </w:divBdr>
    </w:div>
    <w:div w:id="1721324741">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38942299">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5653038">
      <w:bodyDiv w:val="1"/>
      <w:marLeft w:val="0"/>
      <w:marRight w:val="0"/>
      <w:marTop w:val="0"/>
      <w:marBottom w:val="0"/>
      <w:divBdr>
        <w:top w:val="none" w:sz="0" w:space="0" w:color="auto"/>
        <w:left w:val="none" w:sz="0" w:space="0" w:color="auto"/>
        <w:bottom w:val="none" w:sz="0" w:space="0" w:color="auto"/>
        <w:right w:val="none" w:sz="0" w:space="0" w:color="auto"/>
      </w:divBdr>
    </w:div>
    <w:div w:id="1867214123">
      <w:bodyDiv w:val="1"/>
      <w:marLeft w:val="0"/>
      <w:marRight w:val="0"/>
      <w:marTop w:val="0"/>
      <w:marBottom w:val="0"/>
      <w:divBdr>
        <w:top w:val="none" w:sz="0" w:space="0" w:color="auto"/>
        <w:left w:val="none" w:sz="0" w:space="0" w:color="auto"/>
        <w:bottom w:val="none" w:sz="0" w:space="0" w:color="auto"/>
        <w:right w:val="none" w:sz="0" w:space="0" w:color="auto"/>
      </w:divBdr>
    </w:div>
    <w:div w:id="1891501673">
      <w:bodyDiv w:val="1"/>
      <w:marLeft w:val="0"/>
      <w:marRight w:val="0"/>
      <w:marTop w:val="0"/>
      <w:marBottom w:val="0"/>
      <w:divBdr>
        <w:top w:val="none" w:sz="0" w:space="0" w:color="auto"/>
        <w:left w:val="none" w:sz="0" w:space="0" w:color="auto"/>
        <w:bottom w:val="none" w:sz="0" w:space="0" w:color="auto"/>
        <w:right w:val="none" w:sz="0" w:space="0" w:color="auto"/>
      </w:divBdr>
    </w:div>
    <w:div w:id="1894850620">
      <w:bodyDiv w:val="1"/>
      <w:marLeft w:val="0"/>
      <w:marRight w:val="0"/>
      <w:marTop w:val="0"/>
      <w:marBottom w:val="0"/>
      <w:divBdr>
        <w:top w:val="none" w:sz="0" w:space="0" w:color="auto"/>
        <w:left w:val="none" w:sz="0" w:space="0" w:color="auto"/>
        <w:bottom w:val="none" w:sz="0" w:space="0" w:color="auto"/>
        <w:right w:val="none" w:sz="0" w:space="0" w:color="auto"/>
      </w:divBdr>
    </w:div>
    <w:div w:id="1902717794">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16280713">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1941839031">
      <w:bodyDiv w:val="1"/>
      <w:marLeft w:val="0"/>
      <w:marRight w:val="0"/>
      <w:marTop w:val="0"/>
      <w:marBottom w:val="0"/>
      <w:divBdr>
        <w:top w:val="none" w:sz="0" w:space="0" w:color="auto"/>
        <w:left w:val="none" w:sz="0" w:space="0" w:color="auto"/>
        <w:bottom w:val="none" w:sz="0" w:space="0" w:color="auto"/>
        <w:right w:val="none" w:sz="0" w:space="0" w:color="auto"/>
      </w:divBdr>
    </w:div>
    <w:div w:id="1943687112">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36DEA28EF3A41BAAEE42DC4B6006A" ma:contentTypeVersion="5" ma:contentTypeDescription="Crée un document." ma:contentTypeScope="" ma:versionID="2f02f7e2d331370113c18edf2134389a">
  <xsd:schema xmlns:xsd="http://www.w3.org/2001/XMLSchema" xmlns:xs="http://www.w3.org/2001/XMLSchema" xmlns:p="http://schemas.microsoft.com/office/2006/metadata/properties" xmlns:ns2="7843c15a-c529-4832-9dea-3861ba79a35c" targetNamespace="http://schemas.microsoft.com/office/2006/metadata/properties" ma:root="true" ma:fieldsID="9581ece75d7abb9f25b2fe0193398d65" ns2:_="">
    <xsd:import namespace="7843c15a-c529-4832-9dea-3861ba79a35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3c15a-c529-4832-9dea-3861ba79a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Date" ma:index="12"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 xmlns="7843c15a-c529-4832-9dea-3861ba79a3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C09B5-F401-4A6F-B527-12F303830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3c15a-c529-4832-9dea-3861ba79a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customXml/itemProps3.xml><?xml version="1.0" encoding="utf-8"?>
<ds:datastoreItem xmlns:ds="http://schemas.openxmlformats.org/officeDocument/2006/customXml" ds:itemID="{8F99C481-7C4F-4EBD-858F-D5F724BB13A4}">
  <ds:schemaRefs>
    <ds:schemaRef ds:uri="http://schemas.microsoft.com/office/2006/metadata/properties"/>
    <ds:schemaRef ds:uri="http://schemas.microsoft.com/office/infopath/2007/PartnerControls"/>
    <ds:schemaRef ds:uri="7843c15a-c529-4832-9dea-3861ba79a35c"/>
  </ds:schemaRefs>
</ds:datastoreItem>
</file>

<file path=customXml/itemProps4.xml><?xml version="1.0" encoding="utf-8"?>
<ds:datastoreItem xmlns:ds="http://schemas.openxmlformats.org/officeDocument/2006/customXml" ds:itemID="{9E68B613-76B6-4185-874C-37D2E8380FF7}">
  <ds:schemaRefs>
    <ds:schemaRef ds:uri="http://schemas.microsoft.com/sharepoint/v3/contenttype/forms"/>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4040</Words>
  <Characters>22225</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Sto S.A.S.</Company>
  <LinksUpToDate>false</LinksUpToDate>
  <CharactersWithSpaces>26213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 S.A.S.</dc:creator>
  <cp:lastModifiedBy>Aurelie GABLA</cp:lastModifiedBy>
  <cp:revision>4</cp:revision>
  <cp:lastPrinted>2025-08-06T09:56:00Z</cp:lastPrinted>
  <dcterms:created xsi:type="dcterms:W3CDTF">2026-07-07T13:53:00Z</dcterms:created>
  <dcterms:modified xsi:type="dcterms:W3CDTF">2026-07-27T14:03:00Z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0x010100F3236DEA28EF3A41BAAEE42DC4B6006A</vt:lpwstr>
  </property>
  <property fmtid="{D5CDD505-2E9C-101B-9397-08002B2CF9AE}" pid="10" name="MediaServiceImageTags">
    <vt:lpwstr/>
  </property>
</Properties>
</file>