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501" w:type="dxa"/>
        <w:tblInd w:w="-702" w:type="dxa"/>
        <w:tblLook w:val="04A0" w:firstRow="1" w:lastRow="0" w:firstColumn="1" w:lastColumn="0" w:noHBand="0" w:noVBand="1"/>
      </w:tblPr>
      <w:tblGrid>
        <w:gridCol w:w="10501"/>
      </w:tblGrid>
      <w:tr w:rsidR="008674D5" w:rsidRPr="00D7468F" w14:paraId="5FC43DBC" w14:textId="77777777" w:rsidTr="008A5DF0">
        <w:trPr>
          <w:trHeight w:val="247"/>
        </w:trPr>
        <w:tc>
          <w:tcPr>
            <w:tcW w:w="10501" w:type="dxa"/>
          </w:tcPr>
          <w:p w14:paraId="4DEEDDEA" w14:textId="77777777" w:rsidR="008674D5" w:rsidRPr="00D7468F" w:rsidRDefault="008674D5" w:rsidP="008A5DF0">
            <w:pPr>
              <w:jc w:val="center"/>
              <w:rPr>
                <w:rFonts w:ascii="Sto TT" w:eastAsia="Verdana" w:hAnsi="Sto TT" w:cs="Arial"/>
                <w:b/>
                <w:bCs/>
                <w:color w:val="2E74B5" w:themeColor="accent5" w:themeShade="BF"/>
                <w:sz w:val="22"/>
                <w:szCs w:val="22"/>
              </w:rPr>
            </w:pPr>
            <w:bookmarkStart w:id="0" w:name="TAB_SOLUTION_IMAGES"/>
            <w:r w:rsidRPr="00D7468F">
              <w:rPr>
                <w:rFonts w:ascii="Sto TT" w:eastAsia="Verdana" w:hAnsi="Sto TT" w:cs="Arial"/>
                <w:b/>
                <w:bCs/>
                <w:color w:val="2E74B5" w:themeColor="accent5" w:themeShade="BF"/>
                <w:sz w:val="22"/>
                <w:szCs w:val="22"/>
              </w:rPr>
              <w:t>Travaux Préparatoires</w:t>
            </w:r>
          </w:p>
        </w:tc>
      </w:tr>
    </w:tbl>
    <w:p w14:paraId="06814C70" w14:textId="77777777" w:rsidR="008674D5" w:rsidRPr="00D7468F" w:rsidRDefault="008674D5" w:rsidP="008674D5">
      <w:pPr>
        <w:ind w:left="-709" w:right="1"/>
        <w:jc w:val="center"/>
        <w:rPr>
          <w:rFonts w:ascii="Sto TT" w:eastAsia="Verdana" w:hAnsi="Sto TT" w:cs="Arial"/>
          <w:b/>
          <w:bCs/>
          <w:sz w:val="18"/>
          <w:szCs w:val="18"/>
        </w:rPr>
      </w:pPr>
    </w:p>
    <w:p w14:paraId="295E10D2" w14:textId="77777777" w:rsidR="008674D5" w:rsidRPr="00D7468F" w:rsidRDefault="008674D5"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Avant la mise en œuvre d’un système d’isolation thermique extérieure (ITE) sur une construction à ossature bois, il est impératif de s’assurer de la conformité du support selon les exigences du </w:t>
      </w:r>
      <w:r w:rsidRPr="00D7468F">
        <w:rPr>
          <w:rFonts w:ascii="Sto TT" w:eastAsia="Verdana" w:hAnsi="Sto TT" w:cs="Arial"/>
          <w:b/>
          <w:bCs/>
          <w:sz w:val="18"/>
          <w:szCs w:val="18"/>
        </w:rPr>
        <w:t>NF DTU 31.2</w:t>
      </w:r>
      <w:r w:rsidRPr="00D7468F">
        <w:rPr>
          <w:rFonts w:ascii="Sto TT" w:eastAsia="Verdana" w:hAnsi="Sto TT" w:cs="Arial"/>
          <w:sz w:val="18"/>
          <w:szCs w:val="18"/>
        </w:rPr>
        <w:t xml:space="preserve"> et du Cahier du CSTB </w:t>
      </w:r>
      <w:r w:rsidRPr="00D7468F">
        <w:rPr>
          <w:rFonts w:ascii="Sto TT" w:eastAsia="Verdana" w:hAnsi="Sto TT" w:cs="Arial"/>
          <w:b/>
          <w:bCs/>
          <w:sz w:val="18"/>
          <w:szCs w:val="18"/>
        </w:rPr>
        <w:t>3729</w:t>
      </w:r>
      <w:r w:rsidRPr="00D7468F">
        <w:rPr>
          <w:rFonts w:ascii="Sto TT" w:eastAsia="Verdana" w:hAnsi="Sto TT" w:cs="Arial"/>
          <w:sz w:val="18"/>
          <w:szCs w:val="18"/>
        </w:rPr>
        <w:t>_V2. La structure doit être entièrement réalisée, stable, mise hors d’eau, et étanche à l’air. Les panneaux bois utilisés comme support doivent être certifiés (CTB-X, CTB-H P5 minimum, OSB/3 ou OSB/4), secs (humidité comprise entre 8 % et 12 %), propres, dépoussiérés et plans, avec un désaffleur inférieur ou égal à 1 cm sous une règle de 2 mètres.</w:t>
      </w:r>
    </w:p>
    <w:p w14:paraId="18B8219B" w14:textId="77777777" w:rsidR="008674D5" w:rsidRPr="00D7468F" w:rsidRDefault="008674D5" w:rsidP="00A53FC9">
      <w:pPr>
        <w:ind w:left="-709"/>
        <w:jc w:val="both"/>
        <w:rPr>
          <w:rFonts w:ascii="Sto TT" w:eastAsia="Verdana" w:hAnsi="Sto TT" w:cs="Arial"/>
          <w:sz w:val="18"/>
          <w:szCs w:val="18"/>
        </w:rPr>
      </w:pPr>
    </w:p>
    <w:p w14:paraId="6AEDFE90" w14:textId="77777777" w:rsidR="008674D5" w:rsidRPr="00D7468F" w:rsidRDefault="008674D5" w:rsidP="00A53FC9">
      <w:pPr>
        <w:ind w:left="-709"/>
        <w:jc w:val="both"/>
        <w:rPr>
          <w:rFonts w:ascii="Sto TT" w:eastAsia="Verdana" w:hAnsi="Sto TT" w:cs="Arial"/>
          <w:sz w:val="18"/>
          <w:szCs w:val="18"/>
        </w:rPr>
      </w:pPr>
      <w:r w:rsidRPr="00D7468F">
        <w:rPr>
          <w:rFonts w:ascii="Sto TT" w:eastAsia="Verdana" w:hAnsi="Sto TT" w:cs="Arial"/>
          <w:sz w:val="18"/>
          <w:szCs w:val="18"/>
        </w:rPr>
        <w:t>Dans le cadre d’une rénovation, si les panneaux OSB existants présentent des détériorations telles que fissures, gonflements, délaminages, moisissures ou perforations, il est impératif de procéder à leur réparation ou remplacement avant toute mise en œuvre du système ITE. Les réparations peuvent inclure le remplacement partiel ou total des panneaux endommagés, le ponçage des zones irrégulières, le traitement antifongique des zones humides, ou le rebouchage des éclats à l’aide d’un mastic bois adapté.</w:t>
      </w:r>
    </w:p>
    <w:p w14:paraId="474BD08D" w14:textId="77777777" w:rsidR="008674D5" w:rsidRPr="00D7468F" w:rsidRDefault="008674D5" w:rsidP="00A53FC9">
      <w:pPr>
        <w:ind w:left="-709"/>
        <w:jc w:val="both"/>
        <w:rPr>
          <w:rFonts w:ascii="Sto TT" w:eastAsia="Verdana" w:hAnsi="Sto TT" w:cs="Arial"/>
          <w:sz w:val="18"/>
          <w:szCs w:val="18"/>
        </w:rPr>
      </w:pPr>
    </w:p>
    <w:p w14:paraId="428C7CFA" w14:textId="77777777" w:rsidR="008674D5" w:rsidRPr="00D7468F" w:rsidRDefault="008674D5" w:rsidP="00A53FC9">
      <w:pPr>
        <w:ind w:left="-709"/>
        <w:jc w:val="both"/>
        <w:rPr>
          <w:rFonts w:ascii="Sto TT" w:eastAsia="Verdana" w:hAnsi="Sto TT" w:cs="Arial"/>
          <w:sz w:val="18"/>
          <w:szCs w:val="18"/>
        </w:rPr>
      </w:pPr>
      <w:r w:rsidRPr="00D7468F">
        <w:rPr>
          <w:rFonts w:ascii="Sto TT" w:eastAsia="Verdana" w:hAnsi="Sto TT" w:cs="Arial"/>
          <w:sz w:val="18"/>
          <w:szCs w:val="18"/>
        </w:rPr>
        <w:t>Une fois les réparations effectuées, il convient de vérifier la planéité du support, son état de surface, son taux d’humidité, ainsi que la bonne fixation des panneaux à l’ossature. En cas de risque d’intempéries, un bâchage efficace doit être mis en place pour protéger les parois. La pose du système ITE ne peut débuter qu’après validation complète du support par le maître d’œuvre ou le bureau de contrôle. Il est recommandé de formaliser ces vérifications dans une fiche d’autocontrôle chantier afin d’assurer la traçabilité et la qualité de l’exécution.</w:t>
      </w:r>
    </w:p>
    <w:p w14:paraId="22A34ECD" w14:textId="77777777" w:rsidR="008674D5" w:rsidRPr="00D7468F" w:rsidRDefault="008674D5" w:rsidP="00A53FC9">
      <w:pPr>
        <w:ind w:right="1"/>
        <w:jc w:val="both"/>
        <w:rPr>
          <w:rFonts w:ascii="Sto TT" w:eastAsia="Verdana" w:hAnsi="Sto TT" w:cs="Arial"/>
          <w:sz w:val="18"/>
          <w:szCs w:val="18"/>
        </w:rPr>
      </w:pPr>
    </w:p>
    <w:p w14:paraId="6E12C8FD" w14:textId="77777777" w:rsidR="008674D5" w:rsidRPr="00D7468F" w:rsidRDefault="008674D5" w:rsidP="00A53FC9">
      <w:pPr>
        <w:ind w:left="-709" w:right="1"/>
        <w:jc w:val="both"/>
        <w:rPr>
          <w:rFonts w:ascii="Sto TT" w:eastAsia="Verdana" w:hAnsi="Sto TT" w:cs="Arial"/>
          <w:sz w:val="18"/>
          <w:szCs w:val="18"/>
        </w:rPr>
      </w:pPr>
      <w:r w:rsidRPr="00D7468F">
        <w:rPr>
          <w:rFonts w:ascii="Sto TT" w:eastAsia="Verdana" w:hAnsi="Sto TT" w:cs="Arial"/>
          <w:sz w:val="18"/>
          <w:szCs w:val="18"/>
        </w:rPr>
        <w:t>Il convient de souligner que les désordres observés au niveau de l’étanchéité des appuis de fenêtres et de baies sont souvent révélateurs de pathologies structurelles sous-jacentes. Leur traitement ne relève pas de la compétence du façadier, mais nécessite l’intervention d’une entreprise spécialisée en ossature bois. Celle-ci devra procéder à une inspection approfondie de l’état des montants et réaliser, si nécessaire, les reprises structurelles adaptées.</w:t>
      </w:r>
    </w:p>
    <w:p w14:paraId="61B58CCA" w14:textId="77777777" w:rsidR="008674D5" w:rsidRPr="00D7468F" w:rsidRDefault="008674D5" w:rsidP="00A53FC9">
      <w:pPr>
        <w:ind w:left="-709" w:right="1"/>
        <w:jc w:val="both"/>
        <w:rPr>
          <w:rFonts w:ascii="Sto TT" w:eastAsia="Verdana" w:hAnsi="Sto TT" w:cs="Arial"/>
          <w:b/>
          <w:bCs/>
          <w:sz w:val="18"/>
          <w:szCs w:val="18"/>
        </w:rPr>
      </w:pPr>
      <w:r w:rsidRPr="00D7468F">
        <w:rPr>
          <w:rFonts w:ascii="Sto TT" w:eastAsia="Verdana" w:hAnsi="Sto TT" w:cs="Arial"/>
          <w:b/>
          <w:bCs/>
          <w:sz w:val="18"/>
          <w:szCs w:val="18"/>
        </w:rPr>
        <w:t xml:space="preserve">Aucun système d’isolation thermique extérieure ne doit être mis en œuvre sur un support présentant des détériorations, afin de garantir la pérennité du complexe et d’éviter tout risque de désordre ultérieur. </w:t>
      </w:r>
    </w:p>
    <w:p w14:paraId="7C6E8EF2" w14:textId="77777777" w:rsidR="003A17B2" w:rsidRPr="00D7468F" w:rsidRDefault="003A17B2" w:rsidP="00477D98">
      <w:pPr>
        <w:ind w:left="-709" w:right="1"/>
        <w:rPr>
          <w:rFonts w:ascii="Sto TT" w:eastAsia="Verdana" w:hAnsi="Sto TT" w:cs="Arial"/>
          <w:b/>
          <w:bCs/>
          <w:sz w:val="18"/>
          <w:szCs w:val="18"/>
        </w:rPr>
      </w:pPr>
    </w:p>
    <w:p w14:paraId="40D91D18" w14:textId="77777777" w:rsidR="00AE54F5" w:rsidRPr="00D7468F" w:rsidRDefault="00AE54F5" w:rsidP="00477D98">
      <w:pPr>
        <w:ind w:left="-709" w:right="1"/>
        <w:rPr>
          <w:rFonts w:ascii="Sto TT" w:eastAsia="Verdana" w:hAnsi="Sto TT" w:cs="Arial"/>
          <w:b/>
          <w:bCs/>
          <w:sz w:val="18"/>
          <w:szCs w:val="18"/>
        </w:rPr>
      </w:pPr>
    </w:p>
    <w:p w14:paraId="63A3E068" w14:textId="4E4B89B2" w:rsidR="00477D98" w:rsidRPr="00D7468F" w:rsidRDefault="00477D98" w:rsidP="00477D98">
      <w:pPr>
        <w:ind w:left="-709" w:right="1"/>
        <w:jc w:val="center"/>
        <w:rPr>
          <w:rFonts w:ascii="Sto TT" w:eastAsia="Verdana" w:hAnsi="Sto TT" w:cs="Arial"/>
          <w:b/>
          <w:bCs/>
          <w:color w:val="2E74B5" w:themeColor="accent5" w:themeShade="BF"/>
          <w:sz w:val="32"/>
          <w:szCs w:val="32"/>
        </w:rPr>
      </w:pPr>
      <w:r w:rsidRPr="00D7468F">
        <w:rPr>
          <w:rFonts w:ascii="Sto TT" w:eastAsia="Verdana" w:hAnsi="Sto TT" w:cs="Arial"/>
          <w:b/>
          <w:bCs/>
          <w:color w:val="2E74B5" w:themeColor="accent5" w:themeShade="BF"/>
          <w:sz w:val="32"/>
          <w:szCs w:val="32"/>
        </w:rPr>
        <w:t xml:space="preserve">StoTherm </w:t>
      </w:r>
      <w:r w:rsidR="00221B26" w:rsidRPr="00D7468F">
        <w:rPr>
          <w:rFonts w:ascii="Sto TT" w:eastAsia="Verdana" w:hAnsi="Sto TT" w:cs="Arial"/>
          <w:b/>
          <w:bCs/>
          <w:color w:val="2E74B5" w:themeColor="accent5" w:themeShade="BF"/>
          <w:sz w:val="32"/>
          <w:szCs w:val="32"/>
        </w:rPr>
        <w:t>Wood</w:t>
      </w:r>
      <w:r w:rsidRPr="00D7468F">
        <w:rPr>
          <w:rFonts w:ascii="Sto TT" w:eastAsia="Verdana" w:hAnsi="Sto TT" w:cs="Arial"/>
          <w:b/>
          <w:bCs/>
          <w:color w:val="2E74B5" w:themeColor="accent5" w:themeShade="BF"/>
          <w:sz w:val="32"/>
          <w:szCs w:val="32"/>
        </w:rPr>
        <w:t xml:space="preserve"> </w:t>
      </w:r>
      <w:r w:rsidR="00F41A78" w:rsidRPr="00D7468F">
        <w:rPr>
          <w:rFonts w:ascii="Sto TT" w:eastAsia="Verdana" w:hAnsi="Sto TT" w:cs="Arial"/>
          <w:b/>
          <w:bCs/>
          <w:color w:val="2E74B5" w:themeColor="accent5" w:themeShade="BF"/>
          <w:sz w:val="32"/>
          <w:szCs w:val="32"/>
        </w:rPr>
        <w:t>1</w:t>
      </w:r>
    </w:p>
    <w:p w14:paraId="314ACE9C" w14:textId="3E18F79A" w:rsidR="00477D98" w:rsidRPr="00D7468F" w:rsidRDefault="00477D98" w:rsidP="00477D98">
      <w:pPr>
        <w:ind w:left="-709" w:right="1"/>
        <w:jc w:val="center"/>
        <w:rPr>
          <w:rFonts w:ascii="Sto TT" w:eastAsia="Verdana" w:hAnsi="Sto TT" w:cs="Arial"/>
          <w:color w:val="2E74B5" w:themeColor="accent5" w:themeShade="BF"/>
          <w:sz w:val="18"/>
          <w:szCs w:val="18"/>
        </w:rPr>
      </w:pPr>
      <w:r w:rsidRPr="00D7468F">
        <w:rPr>
          <w:rFonts w:ascii="Sto TT" w:eastAsia="Verdana" w:hAnsi="Sto TT" w:cs="Arial"/>
          <w:sz w:val="18"/>
          <w:szCs w:val="18"/>
        </w:rPr>
        <w:t xml:space="preserve">panneau isolant </w:t>
      </w:r>
      <w:r w:rsidR="00EC760F" w:rsidRPr="00D7468F">
        <w:rPr>
          <w:rFonts w:ascii="Sto TT" w:eastAsia="Verdana" w:hAnsi="Sto TT" w:cs="Arial"/>
          <w:sz w:val="18"/>
          <w:szCs w:val="18"/>
        </w:rPr>
        <w:t xml:space="preserve">fibre de bois </w:t>
      </w:r>
      <w:r w:rsidR="003A6D92" w:rsidRPr="00D7468F">
        <w:rPr>
          <w:rFonts w:ascii="Sto TT" w:eastAsia="Verdana" w:hAnsi="Sto TT" w:cs="Arial"/>
          <w:sz w:val="18"/>
          <w:szCs w:val="18"/>
        </w:rPr>
        <w:t>sur</w:t>
      </w:r>
      <w:r w:rsidR="00377E43" w:rsidRPr="00D7468F">
        <w:rPr>
          <w:rFonts w:ascii="Sto TT" w:eastAsia="Verdana" w:hAnsi="Sto TT" w:cs="Arial"/>
          <w:sz w:val="18"/>
          <w:szCs w:val="18"/>
        </w:rPr>
        <w:t xml:space="preserve"> </w:t>
      </w:r>
      <w:r w:rsidR="00406CD5" w:rsidRPr="00D7468F">
        <w:rPr>
          <w:rFonts w:ascii="Sto TT" w:eastAsia="Verdana" w:hAnsi="Sto TT" w:cs="Arial"/>
          <w:sz w:val="18"/>
          <w:szCs w:val="18"/>
        </w:rPr>
        <w:t>COB</w:t>
      </w:r>
      <w:r w:rsidR="00F41A78" w:rsidRPr="00D7468F">
        <w:rPr>
          <w:rFonts w:ascii="Sto TT" w:eastAsia="Verdana" w:hAnsi="Sto TT" w:cs="Arial"/>
          <w:sz w:val="18"/>
          <w:szCs w:val="18"/>
        </w:rPr>
        <w:t>/CLT</w:t>
      </w:r>
    </w:p>
    <w:p w14:paraId="11562FC4" w14:textId="6FB2371C" w:rsidR="003A17B2" w:rsidRPr="00D7468F" w:rsidRDefault="00477D98" w:rsidP="00477D98">
      <w:pPr>
        <w:ind w:left="-709" w:right="1"/>
        <w:jc w:val="center"/>
        <w:rPr>
          <w:rFonts w:ascii="Sto TT" w:eastAsia="Verdana" w:hAnsi="Sto TT" w:cs="Arial"/>
          <w:sz w:val="18"/>
          <w:szCs w:val="18"/>
          <w:lang w:val="pt-PT"/>
        </w:rPr>
      </w:pPr>
      <w:r w:rsidRPr="00D7468F">
        <w:rPr>
          <w:rFonts w:ascii="Sto TT" w:eastAsia="Verdana" w:hAnsi="Sto TT" w:cs="Arial"/>
          <w:b/>
          <w:bCs/>
          <w:color w:val="808080" w:themeColor="background1" w:themeShade="80"/>
          <w:sz w:val="18"/>
          <w:szCs w:val="18"/>
          <w:lang w:val="pt-PT"/>
        </w:rPr>
        <w:t>(A</w:t>
      </w:r>
      <w:r w:rsidR="00191653" w:rsidRPr="00D7468F">
        <w:rPr>
          <w:rFonts w:ascii="Sto TT" w:eastAsia="Verdana" w:hAnsi="Sto TT" w:cs="Arial"/>
          <w:b/>
          <w:bCs/>
          <w:color w:val="808080" w:themeColor="background1" w:themeShade="80"/>
          <w:sz w:val="18"/>
          <w:szCs w:val="18"/>
          <w:lang w:val="pt-PT"/>
        </w:rPr>
        <w:t>T</w:t>
      </w:r>
      <w:r w:rsidR="0022458D" w:rsidRPr="00D7468F">
        <w:rPr>
          <w:rFonts w:ascii="Sto TT" w:eastAsia="Verdana" w:hAnsi="Sto TT" w:cs="Arial"/>
          <w:b/>
          <w:bCs/>
          <w:color w:val="808080" w:themeColor="background1" w:themeShade="80"/>
          <w:sz w:val="18"/>
          <w:szCs w:val="18"/>
          <w:lang w:val="pt-PT"/>
        </w:rPr>
        <w:t>E</w:t>
      </w:r>
      <w:r w:rsidRPr="00D7468F">
        <w:rPr>
          <w:rFonts w:ascii="Sto TT" w:eastAsia="Verdana" w:hAnsi="Sto TT" w:cs="Arial"/>
          <w:b/>
          <w:bCs/>
          <w:color w:val="808080" w:themeColor="background1" w:themeShade="80"/>
          <w:sz w:val="18"/>
          <w:szCs w:val="18"/>
          <w:lang w:val="pt-PT"/>
        </w:rPr>
        <w:t xml:space="preserve">x cas </w:t>
      </w:r>
      <w:r w:rsidR="00106DC1" w:rsidRPr="00D7468F">
        <w:rPr>
          <w:rFonts w:ascii="Sto TT" w:eastAsia="Verdana" w:hAnsi="Sto TT" w:cs="Arial"/>
          <w:b/>
          <w:bCs/>
          <w:color w:val="808080" w:themeColor="background1" w:themeShade="80"/>
          <w:sz w:val="18"/>
          <w:szCs w:val="18"/>
          <w:lang w:val="pt-PT"/>
        </w:rPr>
        <w:t>A</w:t>
      </w:r>
      <w:r w:rsidRPr="00D7468F">
        <w:rPr>
          <w:rFonts w:ascii="Sto TT" w:eastAsia="Verdana" w:hAnsi="Sto TT" w:cs="Arial"/>
          <w:b/>
          <w:bCs/>
          <w:color w:val="808080" w:themeColor="background1" w:themeShade="80"/>
          <w:sz w:val="18"/>
          <w:szCs w:val="18"/>
          <w:lang w:val="pt-PT"/>
        </w:rPr>
        <w:t xml:space="preserve"> 33</w:t>
      </w:r>
      <w:r w:rsidR="00593986" w:rsidRPr="00D7468F">
        <w:rPr>
          <w:rFonts w:ascii="Sto TT" w:eastAsia="Verdana" w:hAnsi="Sto TT" w:cs="Arial"/>
          <w:b/>
          <w:bCs/>
          <w:color w:val="808080" w:themeColor="background1" w:themeShade="80"/>
          <w:sz w:val="18"/>
          <w:szCs w:val="18"/>
          <w:lang w:val="pt-PT"/>
        </w:rPr>
        <w:t>23</w:t>
      </w:r>
      <w:r w:rsidRPr="00D7468F">
        <w:rPr>
          <w:rFonts w:ascii="Sto TT" w:eastAsia="Verdana" w:hAnsi="Sto TT" w:cs="Arial"/>
          <w:color w:val="808080" w:themeColor="background1" w:themeShade="80"/>
          <w:sz w:val="18"/>
          <w:szCs w:val="18"/>
          <w:lang w:val="pt-PT"/>
        </w:rPr>
        <w:t xml:space="preserve"> </w:t>
      </w:r>
      <w:r w:rsidRPr="00D7468F">
        <w:rPr>
          <w:rFonts w:ascii="Sto TT" w:eastAsia="Verdana" w:hAnsi="Sto TT" w:cs="Arial"/>
          <w:b/>
          <w:bCs/>
          <w:color w:val="808080" w:themeColor="background1" w:themeShade="80"/>
          <w:sz w:val="18"/>
          <w:szCs w:val="18"/>
          <w:lang w:val="pt-PT"/>
        </w:rPr>
        <w:t xml:space="preserve">– Classement Feu </w:t>
      </w:r>
      <w:r w:rsidR="00FA518C" w:rsidRPr="00D7468F">
        <w:rPr>
          <w:rFonts w:ascii="Sto TT" w:eastAsia="Verdana" w:hAnsi="Sto TT" w:cs="Arial"/>
          <w:b/>
          <w:bCs/>
          <w:color w:val="808080" w:themeColor="background1" w:themeShade="80"/>
          <w:sz w:val="18"/>
          <w:szCs w:val="18"/>
          <w:lang w:val="pt-PT"/>
        </w:rPr>
        <w:t>B</w:t>
      </w:r>
      <w:r w:rsidRPr="00D7468F">
        <w:rPr>
          <w:rFonts w:ascii="Sto TT" w:eastAsia="Verdana" w:hAnsi="Sto TT" w:cs="Arial"/>
          <w:b/>
          <w:bCs/>
          <w:color w:val="808080" w:themeColor="background1" w:themeShade="80"/>
          <w:sz w:val="18"/>
          <w:szCs w:val="18"/>
          <w:lang w:val="pt-PT"/>
        </w:rPr>
        <w:t>-s</w:t>
      </w:r>
      <w:proofErr w:type="gramStart"/>
      <w:r w:rsidRPr="00D7468F">
        <w:rPr>
          <w:rFonts w:ascii="Sto TT" w:eastAsia="Verdana" w:hAnsi="Sto TT" w:cs="Arial"/>
          <w:b/>
          <w:bCs/>
          <w:color w:val="808080" w:themeColor="background1" w:themeShade="80"/>
          <w:sz w:val="18"/>
          <w:szCs w:val="18"/>
          <w:lang w:val="pt-PT"/>
        </w:rPr>
        <w:t>1,d</w:t>
      </w:r>
      <w:proofErr w:type="gramEnd"/>
      <w:r w:rsidRPr="00D7468F">
        <w:rPr>
          <w:rFonts w:ascii="Sto TT" w:eastAsia="Verdana" w:hAnsi="Sto TT" w:cs="Arial"/>
          <w:b/>
          <w:bCs/>
          <w:color w:val="808080" w:themeColor="background1" w:themeShade="80"/>
          <w:sz w:val="18"/>
          <w:szCs w:val="18"/>
          <w:lang w:val="pt-PT"/>
        </w:rPr>
        <w:t>0)</w:t>
      </w:r>
      <w:r w:rsidRPr="00D7468F">
        <w:rPr>
          <w:rFonts w:ascii="Sto TT" w:eastAsia="Verdana" w:hAnsi="Sto TT" w:cs="Arial"/>
          <w:color w:val="808080" w:themeColor="background1" w:themeShade="80"/>
          <w:sz w:val="18"/>
          <w:szCs w:val="18"/>
          <w:lang w:val="pt-PT"/>
        </w:rPr>
        <w:br/>
      </w:r>
    </w:p>
    <w:p w14:paraId="20E4DE62" w14:textId="6D6810EF" w:rsidR="00477D98" w:rsidRPr="00D7468F" w:rsidRDefault="00D7468F" w:rsidP="00A53FC9">
      <w:pPr>
        <w:ind w:left="-709" w:right="1"/>
        <w:jc w:val="both"/>
        <w:rPr>
          <w:rFonts w:ascii="Sto TT" w:eastAsia="Verdana" w:hAnsi="Sto TT" w:cs="Arial"/>
          <w:sz w:val="18"/>
          <w:szCs w:val="18"/>
          <w:lang w:val="pt-PT"/>
        </w:rPr>
      </w:pPr>
      <w:r w:rsidRPr="00D7468F">
        <w:rPr>
          <w:rFonts w:ascii="Sto TT" w:eastAsia="Verdana" w:hAnsi="Sto TT" w:cs="Arial"/>
          <w:b/>
          <w:bCs/>
          <w:sz w:val="18"/>
          <w:szCs w:val="18"/>
          <w:u w:val="single"/>
          <w:lang w:val="pt-PT"/>
        </w:rPr>
        <w:t>Nota</w:t>
      </w:r>
      <w:r w:rsidRPr="00D7468F">
        <w:rPr>
          <w:rFonts w:ascii="Sto TT" w:eastAsia="Verdana" w:hAnsi="Sto TT" w:cs="Arial"/>
          <w:b/>
          <w:bCs/>
          <w:sz w:val="18"/>
          <w:szCs w:val="18"/>
          <w:lang w:val="pt-PT"/>
        </w:rPr>
        <w:t>:</w:t>
      </w:r>
    </w:p>
    <w:p w14:paraId="69C29231" w14:textId="75E1B268" w:rsidR="00251222" w:rsidRPr="00D7468F" w:rsidRDefault="00251222" w:rsidP="00A53FC9">
      <w:pPr>
        <w:pStyle w:val="Paragraphedeliste"/>
        <w:numPr>
          <w:ilvl w:val="0"/>
          <w:numId w:val="19"/>
        </w:numPr>
        <w:contextualSpacing w:val="0"/>
        <w:jc w:val="both"/>
        <w:rPr>
          <w:rFonts w:ascii="Sto TT" w:eastAsia="Verdana" w:hAnsi="Sto TT" w:cs="Arial"/>
          <w:sz w:val="18"/>
          <w:szCs w:val="18"/>
        </w:rPr>
      </w:pPr>
      <w:r w:rsidRPr="00D7468F">
        <w:rPr>
          <w:rFonts w:ascii="Sto TT" w:eastAsia="Verdana" w:hAnsi="Sto TT" w:cs="Arial"/>
          <w:b/>
          <w:bCs/>
          <w:sz w:val="18"/>
          <w:szCs w:val="18"/>
        </w:rPr>
        <w:t xml:space="preserve">Limites d'utilisation du système StoTherm </w:t>
      </w:r>
      <w:r w:rsidR="001C3BC0" w:rsidRPr="00D7468F">
        <w:rPr>
          <w:rFonts w:ascii="Sto TT" w:eastAsia="Verdana" w:hAnsi="Sto TT" w:cs="Arial"/>
          <w:b/>
          <w:bCs/>
          <w:sz w:val="18"/>
          <w:szCs w:val="18"/>
        </w:rPr>
        <w:t xml:space="preserve">Wood 1 </w:t>
      </w:r>
      <w:r w:rsidRPr="00D7468F">
        <w:rPr>
          <w:rFonts w:ascii="Sto TT" w:eastAsia="Verdana" w:hAnsi="Sto TT" w:cs="Arial"/>
          <w:b/>
          <w:bCs/>
          <w:sz w:val="18"/>
          <w:szCs w:val="18"/>
        </w:rPr>
        <w:t>jusqu’à R+2 (max. 9m hors pignon).</w:t>
      </w:r>
    </w:p>
    <w:p w14:paraId="03B75022" w14:textId="7CA93781" w:rsidR="00D02C85" w:rsidRPr="00D7468F" w:rsidRDefault="001C3BC0" w:rsidP="00A53FC9">
      <w:pPr>
        <w:pStyle w:val="Paragraphedeliste"/>
        <w:numPr>
          <w:ilvl w:val="0"/>
          <w:numId w:val="19"/>
        </w:numPr>
        <w:contextualSpacing w:val="0"/>
        <w:jc w:val="both"/>
        <w:rPr>
          <w:rFonts w:ascii="Sto TT" w:eastAsia="Verdana" w:hAnsi="Sto TT" w:cs="Arial"/>
          <w:b/>
          <w:bCs/>
          <w:sz w:val="18"/>
          <w:szCs w:val="18"/>
        </w:rPr>
      </w:pPr>
      <w:r w:rsidRPr="00D7468F">
        <w:rPr>
          <w:rFonts w:ascii="Sto TT" w:eastAsia="Verdana" w:hAnsi="Sto TT" w:cs="Arial"/>
          <w:b/>
          <w:bCs/>
          <w:sz w:val="18"/>
          <w:szCs w:val="18"/>
        </w:rPr>
        <w:t>Certaines configurations limitées à ERP 2e groupe ou bâtiments soumis au Code du travail.</w:t>
      </w:r>
    </w:p>
    <w:p w14:paraId="57D5E221" w14:textId="77777777" w:rsidR="007B2167" w:rsidRPr="00D7468F" w:rsidRDefault="007B2167" w:rsidP="00A53FC9">
      <w:pPr>
        <w:ind w:right="1"/>
        <w:jc w:val="both"/>
        <w:rPr>
          <w:rFonts w:ascii="Sto TT" w:eastAsia="Verdana" w:hAnsi="Sto TT" w:cs="Arial"/>
          <w:sz w:val="18"/>
          <w:szCs w:val="18"/>
          <w:highlight w:val="yellow"/>
        </w:rPr>
      </w:pPr>
    </w:p>
    <w:p w14:paraId="59DBB56C" w14:textId="0917EE3D" w:rsidR="00A53FC9" w:rsidRPr="00D7468F" w:rsidRDefault="001E452F" w:rsidP="00A53FC9">
      <w:pPr>
        <w:ind w:left="-709" w:right="1"/>
        <w:jc w:val="both"/>
        <w:rPr>
          <w:rFonts w:ascii="Sto TT" w:eastAsia="Verdana" w:hAnsi="Sto TT" w:cs="Arial"/>
          <w:b/>
          <w:bCs/>
          <w:sz w:val="18"/>
          <w:szCs w:val="18"/>
        </w:rPr>
      </w:pPr>
      <w:r w:rsidRPr="00D7468F">
        <w:rPr>
          <w:rFonts w:ascii="Sto TT" w:eastAsia="Verdana" w:hAnsi="Sto TT" w:cs="Arial"/>
          <w:b/>
          <w:bCs/>
          <w:sz w:val="18"/>
          <w:szCs w:val="18"/>
        </w:rPr>
        <w:t xml:space="preserve">Le système </w:t>
      </w:r>
      <w:r w:rsidR="004869CB" w:rsidRPr="00D7468F">
        <w:rPr>
          <w:rFonts w:ascii="Sto TT" w:eastAsia="Verdana" w:hAnsi="Sto TT" w:cs="Arial"/>
          <w:b/>
          <w:bCs/>
          <w:sz w:val="18"/>
          <w:szCs w:val="18"/>
        </w:rPr>
        <w:t xml:space="preserve">StoTherm Wood </w:t>
      </w:r>
      <w:r w:rsidRPr="00D7468F">
        <w:rPr>
          <w:rFonts w:ascii="Sto TT" w:eastAsia="Verdana" w:hAnsi="Sto TT" w:cs="Arial"/>
          <w:b/>
          <w:bCs/>
          <w:sz w:val="18"/>
          <w:szCs w:val="18"/>
        </w:rPr>
        <w:t>ne peut être mis en œuvre dans les zones climatiques humides définies par le fascicule FD P20-651, telles que les régions de montagne (&gt;900 m), les fronts de mer humides et certains départements comme le Jura, les Vosges ou les Pyrénées.</w:t>
      </w:r>
      <w:r w:rsidR="0022458D" w:rsidRPr="00D7468F">
        <w:rPr>
          <w:rFonts w:ascii="Sto TT" w:eastAsia="Verdana" w:hAnsi="Sto TT" w:cs="Arial"/>
          <w:b/>
          <w:bCs/>
          <w:sz w:val="18"/>
          <w:szCs w:val="18"/>
        </w:rPr>
        <w:t xml:space="preserve"> (</w:t>
      </w:r>
      <w:r w:rsidR="00106DC1" w:rsidRPr="00D7468F">
        <w:rPr>
          <w:rFonts w:ascii="Sto TT" w:eastAsia="Verdana" w:hAnsi="Sto TT" w:cs="Arial"/>
          <w:b/>
          <w:bCs/>
          <w:sz w:val="18"/>
          <w:szCs w:val="18"/>
        </w:rPr>
        <w:t>ATEx p.</w:t>
      </w:r>
      <w:r w:rsidR="00EF379A" w:rsidRPr="00D7468F">
        <w:rPr>
          <w:rFonts w:ascii="Sto TT" w:eastAsia="Verdana" w:hAnsi="Sto TT" w:cs="Arial"/>
          <w:b/>
          <w:bCs/>
          <w:sz w:val="18"/>
          <w:szCs w:val="18"/>
        </w:rPr>
        <w:t>44</w:t>
      </w:r>
      <w:r w:rsidR="00106DC1" w:rsidRPr="00D7468F">
        <w:rPr>
          <w:rFonts w:ascii="Sto TT" w:eastAsia="Verdana" w:hAnsi="Sto TT" w:cs="Arial"/>
          <w:b/>
          <w:bCs/>
          <w:sz w:val="18"/>
          <w:szCs w:val="18"/>
        </w:rPr>
        <w:t>-</w:t>
      </w:r>
      <w:r w:rsidR="00EF379A" w:rsidRPr="00D7468F">
        <w:rPr>
          <w:rFonts w:ascii="Sto TT" w:eastAsia="Verdana" w:hAnsi="Sto TT" w:cs="Arial"/>
          <w:b/>
          <w:bCs/>
          <w:sz w:val="18"/>
          <w:szCs w:val="18"/>
        </w:rPr>
        <w:t>46</w:t>
      </w:r>
      <w:r w:rsidR="00106DC1" w:rsidRPr="00D7468F">
        <w:rPr>
          <w:rFonts w:ascii="Sto TT" w:eastAsia="Verdana" w:hAnsi="Sto TT" w:cs="Arial"/>
          <w:b/>
          <w:bCs/>
          <w:sz w:val="18"/>
          <w:szCs w:val="18"/>
        </w:rPr>
        <w:t>)</w:t>
      </w:r>
    </w:p>
    <w:p w14:paraId="3EE4F790" w14:textId="5CCBD77C" w:rsidR="001E452F" w:rsidRPr="00D7468F" w:rsidRDefault="001E452F" w:rsidP="00A53FC9">
      <w:pPr>
        <w:ind w:left="-709" w:right="1"/>
        <w:jc w:val="both"/>
        <w:rPr>
          <w:rFonts w:ascii="Sto TT" w:eastAsia="Verdana" w:hAnsi="Sto TT" w:cs="Arial"/>
          <w:b/>
          <w:bCs/>
          <w:sz w:val="18"/>
          <w:szCs w:val="18"/>
          <w:u w:val="single"/>
        </w:rPr>
      </w:pPr>
    </w:p>
    <w:p w14:paraId="39A9EBBD" w14:textId="77777777" w:rsidR="0016114A" w:rsidRPr="00D7468F" w:rsidRDefault="00477D98" w:rsidP="00A53FC9">
      <w:pPr>
        <w:ind w:left="-709" w:right="1"/>
        <w:jc w:val="both"/>
        <w:rPr>
          <w:rFonts w:ascii="Sto TT" w:eastAsia="Verdana" w:hAnsi="Sto TT" w:cs="Arial"/>
          <w:sz w:val="18"/>
          <w:szCs w:val="18"/>
        </w:rPr>
      </w:pPr>
      <w:r w:rsidRPr="00D7468F">
        <w:rPr>
          <w:rFonts w:ascii="Sto TT" w:eastAsia="Verdana" w:hAnsi="Sto TT" w:cs="Arial"/>
          <w:b/>
          <w:bCs/>
          <w:sz w:val="18"/>
          <w:szCs w:val="18"/>
          <w:u w:val="single"/>
        </w:rPr>
        <w:t>Sismique</w:t>
      </w:r>
      <w:r w:rsidRPr="00D7468F">
        <w:rPr>
          <w:rFonts w:ascii="Sto TT" w:eastAsia="Verdana" w:hAnsi="Sto TT" w:cs="Arial"/>
          <w:sz w:val="18"/>
          <w:szCs w:val="18"/>
        </w:rPr>
        <w:t xml:space="preserve">   </w:t>
      </w:r>
      <w:r w:rsidRPr="00D7468F">
        <w:rPr>
          <w:rFonts w:ascii="Sto TT" w:eastAsia="Verdana" w:hAnsi="Sto TT" w:cs="Arial"/>
          <w:sz w:val="18"/>
          <w:szCs w:val="18"/>
        </w:rPr>
        <w:br/>
        <w:t>Consulter les observations générales en bas du présent document pour rappel de la règlementation sismique.  </w:t>
      </w:r>
    </w:p>
    <w:p w14:paraId="47EA5F95" w14:textId="77777777" w:rsidR="00F54B04" w:rsidRPr="00D7468F" w:rsidRDefault="00F54B04" w:rsidP="00A53FC9">
      <w:pPr>
        <w:ind w:left="-709" w:right="1"/>
        <w:jc w:val="both"/>
        <w:rPr>
          <w:rFonts w:ascii="Sto TT" w:eastAsia="Verdana" w:hAnsi="Sto TT" w:cs="Arial"/>
          <w:sz w:val="18"/>
          <w:szCs w:val="18"/>
        </w:rPr>
      </w:pPr>
    </w:p>
    <w:p w14:paraId="3E79FCBA" w14:textId="77777777" w:rsidR="00E63AC7" w:rsidRPr="00D7468F" w:rsidRDefault="009118A6" w:rsidP="00A53FC9">
      <w:pPr>
        <w:ind w:left="-709" w:right="1"/>
        <w:jc w:val="both"/>
        <w:rPr>
          <w:rFonts w:ascii="Sto TT" w:eastAsia="Verdana" w:hAnsi="Sto TT" w:cs="Arial"/>
          <w:sz w:val="18"/>
          <w:szCs w:val="18"/>
        </w:rPr>
      </w:pPr>
      <w:r w:rsidRPr="00D7468F">
        <w:rPr>
          <w:rFonts w:ascii="Sto TT" w:eastAsia="Verdana" w:hAnsi="Sto TT" w:cs="Arial"/>
          <w:sz w:val="18"/>
          <w:szCs w:val="18"/>
        </w:rPr>
        <w:t>En zone sismique, il convient de s'assurer que la finition, en fonction de l'épaisseur de l'isolant sélectionné, ne soit pas positionnée dans les zones identifiées noire</w:t>
      </w:r>
      <w:r w:rsidR="00AA0DED" w:rsidRPr="00D7468F">
        <w:rPr>
          <w:rFonts w:ascii="Sto TT" w:eastAsia="Verdana" w:hAnsi="Sto TT" w:cs="Arial"/>
          <w:sz w:val="18"/>
          <w:szCs w:val="18"/>
        </w:rPr>
        <w:t xml:space="preserve"> dans le</w:t>
      </w:r>
      <w:r w:rsidR="0028772E" w:rsidRPr="00D7468F">
        <w:rPr>
          <w:rFonts w:ascii="Sto TT" w:eastAsia="Verdana" w:hAnsi="Sto TT" w:cs="Arial"/>
          <w:sz w:val="18"/>
          <w:szCs w:val="18"/>
        </w:rPr>
        <w:t xml:space="preserve"> tableau</w:t>
      </w:r>
      <w:r w:rsidRPr="00D7468F">
        <w:rPr>
          <w:rFonts w:ascii="Sto TT" w:eastAsia="Verdana" w:hAnsi="Sto TT" w:cs="Arial"/>
          <w:sz w:val="18"/>
          <w:szCs w:val="18"/>
        </w:rPr>
        <w:t>.</w:t>
      </w:r>
    </w:p>
    <w:p w14:paraId="646F4738" w14:textId="77777777" w:rsidR="00A53FC9" w:rsidRPr="00D7468F" w:rsidRDefault="00477D98" w:rsidP="00A53FC9">
      <w:pPr>
        <w:ind w:left="-709" w:right="1"/>
        <w:jc w:val="both"/>
        <w:rPr>
          <w:rFonts w:ascii="Sto TT" w:eastAsia="Verdana" w:hAnsi="Sto TT" w:cs="Arial"/>
          <w:b/>
          <w:bCs/>
          <w:sz w:val="18"/>
          <w:szCs w:val="18"/>
          <w:u w:val="single"/>
        </w:rPr>
      </w:pPr>
      <w:r w:rsidRPr="00D7468F">
        <w:rPr>
          <w:rFonts w:ascii="Sto TT" w:eastAsia="Verdana" w:hAnsi="Sto TT" w:cs="Arial"/>
          <w:sz w:val="18"/>
          <w:szCs w:val="18"/>
        </w:rPr>
        <w:br/>
      </w:r>
      <w:r w:rsidRPr="00D7468F">
        <w:rPr>
          <w:rFonts w:ascii="Sto TT" w:eastAsia="Verdana" w:hAnsi="Sto TT" w:cs="Arial"/>
          <w:b/>
          <w:bCs/>
          <w:sz w:val="18"/>
          <w:szCs w:val="18"/>
          <w:u w:val="single"/>
        </w:rPr>
        <w:t>Confection du socle par profil aluminium ou PVC</w:t>
      </w:r>
    </w:p>
    <w:p w14:paraId="7CC53014" w14:textId="77777777" w:rsidR="009E2BC5" w:rsidRDefault="0016685F" w:rsidP="00A53FC9">
      <w:pPr>
        <w:ind w:left="-709" w:right="1"/>
        <w:jc w:val="both"/>
        <w:rPr>
          <w:rFonts w:ascii="Sto TT" w:eastAsia="Verdana" w:hAnsi="Sto TT" w:cs="Arial"/>
          <w:sz w:val="18"/>
          <w:szCs w:val="18"/>
        </w:rPr>
      </w:pPr>
      <w:r w:rsidRPr="00D7468F">
        <w:rPr>
          <w:rFonts w:ascii="Sto TT" w:eastAsia="Verdana" w:hAnsi="Sto TT" w:cs="Arial"/>
          <w:sz w:val="18"/>
          <w:szCs w:val="18"/>
        </w:rPr>
        <w:t>À la hauteur du socle, mettre en place, horizontalement, le </w:t>
      </w:r>
      <w:r w:rsidRPr="00D7468F">
        <w:rPr>
          <w:rFonts w:ascii="Sto TT" w:eastAsia="Verdana" w:hAnsi="Sto TT" w:cs="Arial"/>
          <w:b/>
          <w:bCs/>
          <w:sz w:val="18"/>
          <w:szCs w:val="18"/>
        </w:rPr>
        <w:t>StoProfile Start ST</w:t>
      </w:r>
      <w:r w:rsidRPr="00D7468F">
        <w:rPr>
          <w:rFonts w:ascii="Sto TT" w:eastAsia="Verdana" w:hAnsi="Sto TT" w:cs="Arial"/>
          <w:sz w:val="18"/>
          <w:szCs w:val="18"/>
        </w:rPr>
        <w:t xml:space="preserve"> (réduction du pont thermique) </w:t>
      </w:r>
      <w:r w:rsidR="009E2BC5">
        <w:rPr>
          <w:rFonts w:ascii="Sto TT" w:eastAsia="Verdana" w:hAnsi="Sto TT" w:cs="Arial"/>
          <w:sz w:val="18"/>
          <w:szCs w:val="18"/>
        </w:rPr>
        <w:t>avec le</w:t>
      </w:r>
      <w:r w:rsidRPr="00D7468F">
        <w:rPr>
          <w:rFonts w:ascii="Sto TT" w:eastAsia="Verdana" w:hAnsi="Sto TT" w:cs="Arial"/>
          <w:sz w:val="18"/>
          <w:szCs w:val="18"/>
        </w:rPr>
        <w:t xml:space="preserve"> </w:t>
      </w:r>
      <w:r w:rsidRPr="00D7468F">
        <w:rPr>
          <w:rFonts w:ascii="Sto TT" w:eastAsia="Verdana" w:hAnsi="Sto TT" w:cs="Arial"/>
          <w:b/>
          <w:bCs/>
          <w:sz w:val="18"/>
          <w:szCs w:val="18"/>
        </w:rPr>
        <w:t>Sto-Profil entoilé PH</w:t>
      </w:r>
      <w:r w:rsidRPr="00D7468F">
        <w:rPr>
          <w:rFonts w:ascii="Sto TT" w:eastAsia="Verdana" w:hAnsi="Sto TT" w:cs="Arial"/>
          <w:sz w:val="18"/>
          <w:szCs w:val="18"/>
        </w:rPr>
        <w:t xml:space="preserve"> ou le </w:t>
      </w:r>
      <w:r w:rsidRPr="00D7468F">
        <w:rPr>
          <w:rFonts w:ascii="Sto TT" w:eastAsia="Verdana" w:hAnsi="Sto TT" w:cs="Arial"/>
          <w:b/>
          <w:bCs/>
          <w:sz w:val="18"/>
          <w:szCs w:val="18"/>
        </w:rPr>
        <w:t>Sto-Profil de départ S12</w:t>
      </w:r>
      <w:r w:rsidRPr="00D7468F">
        <w:rPr>
          <w:rFonts w:ascii="Sto TT" w:eastAsia="Verdana" w:hAnsi="Sto TT" w:cs="Arial"/>
          <w:sz w:val="18"/>
          <w:szCs w:val="18"/>
        </w:rPr>
        <w:t xml:space="preserve"> avec le</w:t>
      </w:r>
      <w:r w:rsidRPr="00D7468F">
        <w:rPr>
          <w:rFonts w:ascii="Sto TT" w:eastAsia="Verdana" w:hAnsi="Sto TT" w:cs="Arial"/>
          <w:b/>
          <w:bCs/>
          <w:sz w:val="18"/>
          <w:szCs w:val="18"/>
        </w:rPr>
        <w:t xml:space="preserve"> Sto Profil à Clipser TR </w:t>
      </w:r>
      <w:r w:rsidRPr="00D7468F">
        <w:rPr>
          <w:rFonts w:ascii="Sto TT" w:eastAsia="Verdana" w:hAnsi="Sto TT" w:cs="Arial"/>
          <w:sz w:val="18"/>
          <w:szCs w:val="18"/>
        </w:rPr>
        <w:t>à mettre en œuvre</w:t>
      </w:r>
      <w:r w:rsidRPr="00D7468F">
        <w:rPr>
          <w:rFonts w:ascii="Sto TT" w:eastAsia="Verdana" w:hAnsi="Sto TT" w:cs="Arial"/>
          <w:b/>
          <w:bCs/>
          <w:sz w:val="18"/>
          <w:szCs w:val="18"/>
        </w:rPr>
        <w:t xml:space="preserve"> </w:t>
      </w:r>
      <w:r w:rsidRPr="00D7468F">
        <w:rPr>
          <w:rFonts w:ascii="Sto TT" w:eastAsia="Verdana" w:hAnsi="Sto TT" w:cs="Arial"/>
          <w:sz w:val="18"/>
          <w:szCs w:val="18"/>
        </w:rPr>
        <w:t>avant la pose de l’isolant, à l’aide de </w:t>
      </w:r>
      <w:r w:rsidRPr="00D7468F">
        <w:rPr>
          <w:rFonts w:ascii="Sto TT" w:eastAsia="Verdana" w:hAnsi="Sto TT" w:cs="Arial"/>
          <w:b/>
          <w:bCs/>
          <w:sz w:val="18"/>
          <w:szCs w:val="18"/>
        </w:rPr>
        <w:t>3 Sto-Tape Vis par mètre linéaire</w:t>
      </w:r>
      <w:r w:rsidRPr="00D7468F">
        <w:rPr>
          <w:rFonts w:ascii="Sto TT" w:eastAsia="Verdana" w:hAnsi="Sto TT" w:cs="Arial"/>
          <w:sz w:val="18"/>
          <w:szCs w:val="18"/>
        </w:rPr>
        <w:t>, la première et la dernière fixation étant à </w:t>
      </w:r>
      <w:r w:rsidRPr="00D7468F">
        <w:rPr>
          <w:rFonts w:ascii="Sto TT" w:eastAsia="Verdana" w:hAnsi="Sto TT" w:cs="Arial"/>
          <w:b/>
          <w:bCs/>
          <w:sz w:val="18"/>
          <w:szCs w:val="18"/>
        </w:rPr>
        <w:t>5 cm maximum</w:t>
      </w:r>
      <w:r w:rsidRPr="00D7468F">
        <w:rPr>
          <w:rFonts w:ascii="Sto TT" w:eastAsia="Verdana" w:hAnsi="Sto TT" w:cs="Arial"/>
          <w:sz w:val="18"/>
          <w:szCs w:val="18"/>
        </w:rPr>
        <w:t> des extrémités du socle.</w:t>
      </w:r>
      <w:r w:rsidRPr="00D7468F">
        <w:rPr>
          <w:rFonts w:ascii="Sto TT" w:eastAsia="Verdana" w:hAnsi="Sto TT" w:cs="Arial"/>
          <w:sz w:val="18"/>
          <w:szCs w:val="18"/>
        </w:rPr>
        <w:br/>
        <w:t>Rattraper les inégalités par des </w:t>
      </w:r>
      <w:r w:rsidRPr="00D7468F">
        <w:rPr>
          <w:rFonts w:ascii="Sto TT" w:eastAsia="Verdana" w:hAnsi="Sto TT" w:cs="Arial"/>
          <w:b/>
          <w:bCs/>
          <w:sz w:val="18"/>
          <w:szCs w:val="18"/>
        </w:rPr>
        <w:t>Cales Sto</w:t>
      </w:r>
      <w:r w:rsidRPr="00D7468F">
        <w:rPr>
          <w:rFonts w:ascii="Sto TT" w:eastAsia="Verdana" w:hAnsi="Sto TT" w:cs="Arial"/>
          <w:sz w:val="18"/>
          <w:szCs w:val="18"/>
        </w:rPr>
        <w:t>. La </w:t>
      </w:r>
      <w:r w:rsidRPr="00D7468F">
        <w:rPr>
          <w:rFonts w:ascii="Sto TT" w:eastAsia="Verdana" w:hAnsi="Sto TT" w:cs="Arial"/>
          <w:b/>
          <w:bCs/>
          <w:sz w:val="18"/>
          <w:szCs w:val="18"/>
        </w:rPr>
        <w:t>largeur des profils</w:t>
      </w:r>
      <w:r w:rsidRPr="00D7468F">
        <w:rPr>
          <w:rFonts w:ascii="Sto TT" w:eastAsia="Verdana" w:hAnsi="Sto TT" w:cs="Arial"/>
          <w:sz w:val="18"/>
          <w:szCs w:val="18"/>
        </w:rPr>
        <w:t> est en fonction de l’</w:t>
      </w:r>
      <w:r w:rsidRPr="00D7468F">
        <w:rPr>
          <w:rFonts w:ascii="Sto TT" w:eastAsia="Verdana" w:hAnsi="Sto TT" w:cs="Arial"/>
          <w:b/>
          <w:bCs/>
          <w:sz w:val="18"/>
          <w:szCs w:val="18"/>
        </w:rPr>
        <w:t>épaisseur des panneaux</w:t>
      </w:r>
      <w:r w:rsidRPr="00D7468F">
        <w:rPr>
          <w:rFonts w:ascii="Sto TT" w:eastAsia="Verdana" w:hAnsi="Sto TT" w:cs="Arial"/>
          <w:sz w:val="18"/>
          <w:szCs w:val="18"/>
        </w:rPr>
        <w:t>.</w:t>
      </w:r>
    </w:p>
    <w:p w14:paraId="5302298F" w14:textId="33D2644E" w:rsidR="00477D98" w:rsidRPr="00D7468F" w:rsidRDefault="0016685F" w:rsidP="00A53FC9">
      <w:pPr>
        <w:ind w:left="-709" w:right="1"/>
        <w:jc w:val="both"/>
        <w:rPr>
          <w:rFonts w:ascii="Sto TT" w:eastAsia="Verdana" w:hAnsi="Sto TT" w:cs="Arial"/>
          <w:sz w:val="18"/>
          <w:szCs w:val="18"/>
        </w:rPr>
      </w:pPr>
      <w:r w:rsidRPr="00D7468F">
        <w:rPr>
          <w:rFonts w:ascii="Sto TT" w:eastAsia="Verdana" w:hAnsi="Sto TT" w:cs="Arial"/>
          <w:sz w:val="18"/>
          <w:szCs w:val="18"/>
        </w:rPr>
        <w:t>Laisser entre les socles un </w:t>
      </w:r>
      <w:r w:rsidRPr="00D7468F">
        <w:rPr>
          <w:rFonts w:ascii="Sto TT" w:eastAsia="Verdana" w:hAnsi="Sto TT" w:cs="Arial"/>
          <w:b/>
          <w:bCs/>
          <w:sz w:val="18"/>
          <w:szCs w:val="18"/>
        </w:rPr>
        <w:t>espace minimum de 5 mm</w:t>
      </w:r>
      <w:r w:rsidRPr="00D7468F">
        <w:rPr>
          <w:rFonts w:ascii="Sto TT" w:eastAsia="Verdana" w:hAnsi="Sto TT" w:cs="Arial"/>
          <w:sz w:val="18"/>
          <w:szCs w:val="18"/>
        </w:rPr>
        <w:t>, au moyen de </w:t>
      </w:r>
      <w:r w:rsidRPr="00D7468F">
        <w:rPr>
          <w:rFonts w:ascii="Sto TT" w:eastAsia="Verdana" w:hAnsi="Sto TT" w:cs="Arial"/>
          <w:b/>
          <w:bCs/>
          <w:sz w:val="18"/>
          <w:szCs w:val="18"/>
        </w:rPr>
        <w:t>Sto-Cale de jonction</w:t>
      </w:r>
      <w:r w:rsidRPr="00D7468F">
        <w:rPr>
          <w:rFonts w:ascii="Sto TT" w:eastAsia="Verdana" w:hAnsi="Sto TT" w:cs="Arial"/>
          <w:sz w:val="18"/>
          <w:szCs w:val="18"/>
        </w:rPr>
        <w:t>, permettant la </w:t>
      </w:r>
      <w:r w:rsidRPr="00D7468F">
        <w:rPr>
          <w:rFonts w:ascii="Sto TT" w:eastAsia="Verdana" w:hAnsi="Sto TT" w:cs="Arial"/>
          <w:b/>
          <w:bCs/>
          <w:sz w:val="18"/>
          <w:szCs w:val="18"/>
        </w:rPr>
        <w:t>libre dilatation des profils</w:t>
      </w:r>
      <w:r w:rsidRPr="00D7468F">
        <w:rPr>
          <w:rFonts w:ascii="Sto TT" w:eastAsia="Verdana" w:hAnsi="Sto TT" w:cs="Arial"/>
          <w:sz w:val="18"/>
          <w:szCs w:val="18"/>
        </w:rPr>
        <w:t>.</w:t>
      </w:r>
      <w:r w:rsidR="00477D98" w:rsidRPr="00D7468F">
        <w:rPr>
          <w:rFonts w:ascii="Sto TT" w:eastAsia="Verdana" w:hAnsi="Sto TT" w:cs="Arial"/>
          <w:sz w:val="18"/>
          <w:szCs w:val="18"/>
        </w:rPr>
        <w:br/>
      </w:r>
    </w:p>
    <w:p w14:paraId="39D6C4D9" w14:textId="77777777" w:rsidR="00A53FC9" w:rsidRPr="00D7468F" w:rsidRDefault="00BD51FD" w:rsidP="00A53FC9">
      <w:pPr>
        <w:ind w:left="-709"/>
        <w:jc w:val="both"/>
        <w:rPr>
          <w:rFonts w:ascii="Sto TT" w:eastAsia="Verdana" w:hAnsi="Sto TT" w:cs="Arial"/>
          <w:b/>
          <w:bCs/>
          <w:sz w:val="18"/>
          <w:szCs w:val="18"/>
          <w:u w:val="single"/>
        </w:rPr>
      </w:pPr>
      <w:r w:rsidRPr="00D7468F">
        <w:rPr>
          <w:rFonts w:ascii="Sto TT" w:eastAsia="Verdana" w:hAnsi="Sto TT" w:cs="Arial"/>
          <w:b/>
          <w:bCs/>
          <w:sz w:val="18"/>
          <w:szCs w:val="18"/>
          <w:u w:val="single"/>
        </w:rPr>
        <w:t xml:space="preserve">Pose de l'isolant </w:t>
      </w:r>
      <w:r w:rsidR="00EC760F" w:rsidRPr="00D7468F">
        <w:rPr>
          <w:rFonts w:ascii="Sto TT" w:eastAsia="Verdana" w:hAnsi="Sto TT" w:cs="Arial"/>
          <w:b/>
          <w:bCs/>
          <w:sz w:val="18"/>
          <w:szCs w:val="18"/>
          <w:u w:val="single"/>
        </w:rPr>
        <w:t xml:space="preserve">Fibre de bois </w:t>
      </w:r>
    </w:p>
    <w:p w14:paraId="35EBC820" w14:textId="77777777" w:rsidR="009E2BC5" w:rsidRDefault="00D36294" w:rsidP="00A53FC9">
      <w:pPr>
        <w:ind w:left="-709"/>
        <w:jc w:val="both"/>
        <w:rPr>
          <w:rFonts w:ascii="Sto TT" w:eastAsia="Verdana" w:hAnsi="Sto TT" w:cs="Arial"/>
          <w:sz w:val="18"/>
          <w:szCs w:val="18"/>
        </w:rPr>
      </w:pPr>
      <w:r w:rsidRPr="00D7468F">
        <w:rPr>
          <w:rFonts w:ascii="Sto TT" w:eastAsia="Verdana" w:hAnsi="Sto TT" w:cs="Arial"/>
          <w:sz w:val="18"/>
          <w:szCs w:val="18"/>
        </w:rPr>
        <w:t>Pose de l’isolant en fibre de bois, sur les supports préparés au préalable suivant les indications précédentes.</w:t>
      </w:r>
    </w:p>
    <w:p w14:paraId="33B169C7" w14:textId="31694E84" w:rsidR="00D36294" w:rsidRPr="00D7468F" w:rsidRDefault="00D36294"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Se référer à l'avis technique </w:t>
      </w:r>
      <w:r w:rsidRPr="00D7468F">
        <w:rPr>
          <w:rFonts w:ascii="Sto TT" w:eastAsia="Verdana" w:hAnsi="Sto TT" w:cs="Arial"/>
          <w:b/>
          <w:bCs/>
          <w:sz w:val="18"/>
          <w:szCs w:val="18"/>
        </w:rPr>
        <w:t>StoTherm Wood 1</w:t>
      </w:r>
      <w:r w:rsidRPr="00D7468F">
        <w:rPr>
          <w:rFonts w:ascii="Sto TT" w:eastAsia="Verdana" w:hAnsi="Sto TT" w:cs="Arial"/>
          <w:sz w:val="18"/>
          <w:szCs w:val="18"/>
        </w:rPr>
        <w:t xml:space="preserve"> pour les isolants en fibre de bois visés.</w:t>
      </w:r>
    </w:p>
    <w:p w14:paraId="3833CD76" w14:textId="6E98F9D2" w:rsidR="00D36294" w:rsidRPr="00D7468F" w:rsidRDefault="00D36294" w:rsidP="00A53FC9">
      <w:pPr>
        <w:ind w:left="-709"/>
        <w:jc w:val="both"/>
        <w:rPr>
          <w:rFonts w:ascii="Sto TT" w:eastAsia="Verdana" w:hAnsi="Sto TT" w:cs="Arial"/>
          <w:sz w:val="18"/>
          <w:szCs w:val="18"/>
        </w:rPr>
      </w:pPr>
      <w:r w:rsidRPr="00D7468F">
        <w:rPr>
          <w:rFonts w:ascii="Sto TT" w:eastAsia="Verdana" w:hAnsi="Sto TT" w:cs="Arial"/>
          <w:sz w:val="18"/>
          <w:szCs w:val="18"/>
        </w:rPr>
        <w:t>Ces panneaux seront posés en appareillage, de façon absolument plane et à joints plats serrés, harpés dans les angles.</w:t>
      </w:r>
    </w:p>
    <w:p w14:paraId="4CA8462D" w14:textId="77777777" w:rsidR="00D36294" w:rsidRPr="00D7468F" w:rsidRDefault="00D36294" w:rsidP="00A53FC9">
      <w:pPr>
        <w:ind w:left="-709"/>
        <w:jc w:val="both"/>
        <w:rPr>
          <w:rFonts w:ascii="Sto TT" w:eastAsia="Verdana" w:hAnsi="Sto TT" w:cs="Arial"/>
          <w:sz w:val="18"/>
          <w:szCs w:val="18"/>
        </w:rPr>
      </w:pPr>
    </w:p>
    <w:p w14:paraId="53449042" w14:textId="77777777" w:rsidR="00A53FC9" w:rsidRPr="00D7468F" w:rsidRDefault="00D36294"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Les joints de plaques doivent être décalés d'au moins </w:t>
      </w:r>
      <w:r w:rsidRPr="00D7468F">
        <w:rPr>
          <w:rFonts w:ascii="Sto TT" w:eastAsia="Verdana" w:hAnsi="Sto TT" w:cs="Arial"/>
          <w:b/>
          <w:bCs/>
          <w:sz w:val="18"/>
          <w:szCs w:val="18"/>
        </w:rPr>
        <w:t>100 mm</w:t>
      </w:r>
      <w:r w:rsidRPr="00D7468F">
        <w:rPr>
          <w:rFonts w:ascii="Sto TT" w:eastAsia="Verdana" w:hAnsi="Sto TT" w:cs="Arial"/>
          <w:sz w:val="18"/>
          <w:szCs w:val="18"/>
        </w:rPr>
        <w:t xml:space="preserve"> par rapport aux joints des rails de départ et d'arrêts latéraux, conformément au CPT 3035 du CSTB.</w:t>
      </w:r>
    </w:p>
    <w:p w14:paraId="4ECD95ED" w14:textId="085F20ED" w:rsidR="00D36294" w:rsidRPr="00D7468F" w:rsidRDefault="00D36294" w:rsidP="00A53FC9">
      <w:pPr>
        <w:ind w:left="-709"/>
        <w:jc w:val="both"/>
        <w:rPr>
          <w:rFonts w:ascii="Sto TT" w:eastAsia="Verdana" w:hAnsi="Sto TT" w:cs="Arial"/>
          <w:sz w:val="18"/>
          <w:szCs w:val="18"/>
        </w:rPr>
      </w:pPr>
      <w:r w:rsidRPr="00D7468F">
        <w:rPr>
          <w:rFonts w:ascii="Sto TT" w:eastAsia="Verdana" w:hAnsi="Sto TT" w:cs="Arial"/>
          <w:sz w:val="18"/>
          <w:szCs w:val="18"/>
        </w:rPr>
        <w:t>Aux angles de baies, les panneaux seront découpés en "L", afin d'éviter les joints filants.</w:t>
      </w:r>
    </w:p>
    <w:p w14:paraId="3FFD8754" w14:textId="77777777" w:rsidR="00D36294" w:rsidRPr="00D7468F" w:rsidRDefault="00D36294" w:rsidP="00A53FC9">
      <w:pPr>
        <w:ind w:left="-709"/>
        <w:jc w:val="both"/>
        <w:rPr>
          <w:rFonts w:ascii="Sto TT" w:eastAsia="Verdana" w:hAnsi="Sto TT" w:cs="Arial"/>
          <w:sz w:val="18"/>
          <w:szCs w:val="18"/>
        </w:rPr>
      </w:pPr>
      <w:r w:rsidRPr="00D7468F">
        <w:rPr>
          <w:rFonts w:ascii="Sto TT" w:eastAsia="Verdana" w:hAnsi="Sto TT" w:cs="Arial"/>
          <w:sz w:val="18"/>
          <w:szCs w:val="18"/>
        </w:rPr>
        <w:t>Remplissage des vides éventuels entre les joints avec des morceaux de fibre de bois découpés.</w:t>
      </w:r>
    </w:p>
    <w:p w14:paraId="7C3D805F" w14:textId="77777777" w:rsidR="00D36294" w:rsidRPr="00D7468F" w:rsidRDefault="00D36294" w:rsidP="00A53FC9">
      <w:pPr>
        <w:ind w:left="-709"/>
        <w:jc w:val="both"/>
        <w:rPr>
          <w:rFonts w:ascii="Sto TT" w:eastAsia="Verdana" w:hAnsi="Sto TT" w:cs="Arial"/>
          <w:sz w:val="18"/>
          <w:szCs w:val="18"/>
        </w:rPr>
      </w:pPr>
      <w:r w:rsidRPr="00D7468F">
        <w:rPr>
          <w:rFonts w:ascii="Sto TT" w:eastAsia="Verdana" w:hAnsi="Sto TT" w:cs="Arial"/>
          <w:b/>
          <w:bCs/>
          <w:sz w:val="18"/>
          <w:szCs w:val="18"/>
        </w:rPr>
        <w:lastRenderedPageBreak/>
        <w:t>Nota</w:t>
      </w:r>
      <w:r w:rsidRPr="00D7468F">
        <w:rPr>
          <w:rFonts w:ascii="Sto TT" w:eastAsia="Verdana" w:hAnsi="Sto TT" w:cs="Arial"/>
          <w:sz w:val="18"/>
          <w:szCs w:val="18"/>
        </w:rPr>
        <w:t xml:space="preserve"> : Le </w:t>
      </w:r>
      <w:r w:rsidRPr="00D7468F">
        <w:rPr>
          <w:rFonts w:ascii="Sto TT" w:eastAsia="Verdana" w:hAnsi="Sto TT" w:cs="Arial"/>
          <w:b/>
          <w:bCs/>
          <w:sz w:val="18"/>
          <w:szCs w:val="18"/>
        </w:rPr>
        <w:t>préperçage des panneaux en fibre de bois est obligatoire</w:t>
      </w:r>
      <w:r w:rsidRPr="00D7468F">
        <w:rPr>
          <w:rFonts w:ascii="Sto TT" w:eastAsia="Verdana" w:hAnsi="Sto TT" w:cs="Arial"/>
          <w:sz w:val="18"/>
          <w:szCs w:val="18"/>
        </w:rPr>
        <w:t xml:space="preserve"> avant leur fixation par chevilles. En effet, la densité du matériau peut provoquer un bourrage lors du chevillage, compromettant l’ancrage des fixations et générant un échauffement local susceptible d’induire un risque de feu couvant.</w:t>
      </w:r>
    </w:p>
    <w:p w14:paraId="3ABDDC98" w14:textId="77777777" w:rsidR="005605E6" w:rsidRPr="00D7468F" w:rsidRDefault="005605E6" w:rsidP="00A53FC9">
      <w:pPr>
        <w:ind w:left="-709"/>
        <w:jc w:val="both"/>
        <w:rPr>
          <w:rFonts w:ascii="Sto TT" w:eastAsia="Verdana" w:hAnsi="Sto TT" w:cs="Arial"/>
          <w:sz w:val="18"/>
          <w:szCs w:val="18"/>
        </w:rPr>
      </w:pPr>
    </w:p>
    <w:p w14:paraId="596C5C87" w14:textId="77777777" w:rsidR="00265A3D" w:rsidRPr="00D7468F" w:rsidRDefault="00D36294"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Procéder à la fixation des </w:t>
      </w:r>
      <w:r w:rsidRPr="00D7468F">
        <w:rPr>
          <w:rFonts w:ascii="Sto TT" w:eastAsia="Verdana" w:hAnsi="Sto TT" w:cs="Arial"/>
          <w:b/>
          <w:bCs/>
          <w:sz w:val="18"/>
          <w:szCs w:val="18"/>
        </w:rPr>
        <w:t>agrafes</w:t>
      </w:r>
      <w:r w:rsidRPr="00D7468F">
        <w:rPr>
          <w:rFonts w:ascii="Sto TT" w:eastAsia="Verdana" w:hAnsi="Sto TT" w:cs="Arial"/>
          <w:sz w:val="18"/>
          <w:szCs w:val="18"/>
        </w:rPr>
        <w:t xml:space="preserve"> ou des </w:t>
      </w:r>
      <w:r w:rsidRPr="00D7468F">
        <w:rPr>
          <w:rFonts w:ascii="Sto TT" w:eastAsia="Verdana" w:hAnsi="Sto TT" w:cs="Arial"/>
          <w:b/>
          <w:bCs/>
          <w:sz w:val="18"/>
          <w:szCs w:val="18"/>
        </w:rPr>
        <w:t>chevilles Sto-Chevilles</w:t>
      </w:r>
      <w:r w:rsidRPr="00D7468F">
        <w:rPr>
          <w:rFonts w:ascii="Sto TT" w:eastAsia="Verdana" w:hAnsi="Sto TT" w:cs="Arial"/>
          <w:sz w:val="18"/>
          <w:szCs w:val="18"/>
        </w:rPr>
        <w:t xml:space="preserve"> suivant la liste des chevilles retenues dans notre DTA : perçage soigneux de trous au travers de l'isolant puis mise en place des chevilles.</w:t>
      </w:r>
    </w:p>
    <w:p w14:paraId="5E72BB10" w14:textId="22BA200D" w:rsidR="00D36294" w:rsidRPr="00D7468F" w:rsidRDefault="00D36294" w:rsidP="00A53FC9">
      <w:pPr>
        <w:ind w:left="-709"/>
        <w:jc w:val="both"/>
        <w:rPr>
          <w:rFonts w:ascii="Sto TT" w:eastAsia="Verdana" w:hAnsi="Sto TT" w:cs="Arial"/>
          <w:sz w:val="18"/>
          <w:szCs w:val="18"/>
        </w:rPr>
      </w:pPr>
      <w:r w:rsidRPr="00D7468F">
        <w:rPr>
          <w:rFonts w:ascii="Sto TT" w:eastAsia="Verdana" w:hAnsi="Sto TT" w:cs="Arial"/>
          <w:sz w:val="18"/>
          <w:szCs w:val="18"/>
        </w:rPr>
        <w:br/>
        <w:t>Le nombre d’agrafes ou de chevilles par panneau de fibre de bois est déterminé selon l’</w:t>
      </w:r>
      <w:r w:rsidRPr="00D7468F">
        <w:rPr>
          <w:rFonts w:ascii="Sto TT" w:eastAsia="Verdana" w:hAnsi="Sto TT" w:cs="Arial"/>
          <w:b/>
          <w:bCs/>
          <w:sz w:val="18"/>
          <w:szCs w:val="18"/>
        </w:rPr>
        <w:t>Avis Technique</w:t>
      </w:r>
      <w:r w:rsidRPr="00D7468F">
        <w:rPr>
          <w:rFonts w:ascii="Sto TT" w:eastAsia="Verdana" w:hAnsi="Sto TT" w:cs="Arial"/>
          <w:sz w:val="18"/>
          <w:szCs w:val="18"/>
        </w:rPr>
        <w:t>.</w:t>
      </w:r>
    </w:p>
    <w:p w14:paraId="5C8593D0" w14:textId="77777777" w:rsidR="00265A3D" w:rsidRPr="00D7468F" w:rsidRDefault="00265A3D" w:rsidP="00A53FC9">
      <w:pPr>
        <w:ind w:left="-709"/>
        <w:jc w:val="both"/>
        <w:rPr>
          <w:rFonts w:ascii="Sto TT" w:eastAsia="Verdana" w:hAnsi="Sto TT" w:cs="Arial"/>
          <w:b/>
          <w:bCs/>
          <w:sz w:val="18"/>
          <w:szCs w:val="18"/>
        </w:rPr>
      </w:pPr>
    </w:p>
    <w:p w14:paraId="18BC99D6" w14:textId="4926472E" w:rsidR="00D36294" w:rsidRPr="00D7468F" w:rsidRDefault="00D36294" w:rsidP="00A53FC9">
      <w:pPr>
        <w:ind w:left="-709"/>
        <w:jc w:val="both"/>
        <w:rPr>
          <w:rFonts w:ascii="Sto TT" w:eastAsia="Verdana" w:hAnsi="Sto TT" w:cs="Arial"/>
          <w:b/>
          <w:bCs/>
          <w:sz w:val="18"/>
          <w:szCs w:val="18"/>
        </w:rPr>
      </w:pPr>
      <w:r w:rsidRPr="00D7468F">
        <w:rPr>
          <w:rFonts w:ascii="Sto TT" w:eastAsia="Verdana" w:hAnsi="Sto TT" w:cs="Arial"/>
          <w:b/>
          <w:bCs/>
          <w:sz w:val="18"/>
          <w:szCs w:val="18"/>
        </w:rPr>
        <w:t>Fixation par agrafes</w:t>
      </w:r>
    </w:p>
    <w:p w14:paraId="1666689B" w14:textId="77777777" w:rsidR="00D36294" w:rsidRPr="00D7468F" w:rsidRDefault="00D36294" w:rsidP="00A53FC9">
      <w:pPr>
        <w:ind w:left="-709"/>
        <w:jc w:val="both"/>
        <w:rPr>
          <w:rFonts w:ascii="Sto TT" w:eastAsia="Verdana" w:hAnsi="Sto TT" w:cs="Arial"/>
          <w:sz w:val="18"/>
          <w:szCs w:val="18"/>
        </w:rPr>
      </w:pPr>
      <w:r w:rsidRPr="00D7468F">
        <w:rPr>
          <w:rFonts w:ascii="Sto TT" w:eastAsia="Verdana" w:hAnsi="Sto TT" w:cs="Arial"/>
          <w:sz w:val="18"/>
          <w:szCs w:val="18"/>
        </w:rPr>
        <w:t>Agrafes (quelle que soit la région) : agrafes inox ou en acier galvanisé (couronne 27 mm, diamètre de fil 2 mm) posées avec une agrafeuse pneumatique :</w:t>
      </w:r>
    </w:p>
    <w:p w14:paraId="71C7CF2F" w14:textId="77777777" w:rsidR="00D36294" w:rsidRPr="00D7468F" w:rsidRDefault="00D36294" w:rsidP="00A53FC9">
      <w:pPr>
        <w:numPr>
          <w:ilvl w:val="0"/>
          <w:numId w:val="37"/>
        </w:numPr>
        <w:jc w:val="both"/>
        <w:rPr>
          <w:rFonts w:ascii="Sto TT" w:eastAsia="Verdana" w:hAnsi="Sto TT" w:cs="Arial"/>
          <w:sz w:val="18"/>
          <w:szCs w:val="18"/>
        </w:rPr>
      </w:pPr>
      <w:r w:rsidRPr="00D7468F">
        <w:rPr>
          <w:rFonts w:ascii="Sto TT" w:eastAsia="Verdana" w:hAnsi="Sto TT" w:cs="Arial"/>
          <w:sz w:val="18"/>
          <w:szCs w:val="18"/>
        </w:rPr>
        <w:t>HAUBOLD (réf. PN29130 ou 29150)</w:t>
      </w:r>
    </w:p>
    <w:p w14:paraId="196425DA" w14:textId="77777777" w:rsidR="00D36294" w:rsidRPr="00D7468F" w:rsidRDefault="00D36294" w:rsidP="00A53FC9">
      <w:pPr>
        <w:numPr>
          <w:ilvl w:val="0"/>
          <w:numId w:val="37"/>
        </w:numPr>
        <w:jc w:val="both"/>
        <w:rPr>
          <w:rFonts w:ascii="Sto TT" w:eastAsia="Verdana" w:hAnsi="Sto TT" w:cs="Arial"/>
          <w:sz w:val="18"/>
          <w:szCs w:val="18"/>
        </w:rPr>
      </w:pPr>
      <w:r w:rsidRPr="00D7468F">
        <w:rPr>
          <w:rFonts w:ascii="Sto TT" w:eastAsia="Verdana" w:hAnsi="Sto TT" w:cs="Arial"/>
          <w:sz w:val="18"/>
          <w:szCs w:val="18"/>
        </w:rPr>
        <w:t>ALSAFIX (réf. 27/160 P1)</w:t>
      </w:r>
    </w:p>
    <w:p w14:paraId="320CE5B3" w14:textId="77777777" w:rsidR="00D36294" w:rsidRPr="00D7468F" w:rsidRDefault="00D36294" w:rsidP="00A53FC9">
      <w:pPr>
        <w:numPr>
          <w:ilvl w:val="0"/>
          <w:numId w:val="37"/>
        </w:numPr>
        <w:jc w:val="both"/>
        <w:rPr>
          <w:rFonts w:ascii="Sto TT" w:eastAsia="Verdana" w:hAnsi="Sto TT" w:cs="Arial"/>
          <w:sz w:val="18"/>
          <w:szCs w:val="18"/>
        </w:rPr>
      </w:pPr>
      <w:r w:rsidRPr="00D7468F">
        <w:rPr>
          <w:rFonts w:ascii="Sto TT" w:eastAsia="Verdana" w:hAnsi="Sto TT" w:cs="Arial"/>
          <w:sz w:val="18"/>
          <w:szCs w:val="18"/>
        </w:rPr>
        <w:t>SENCO (réf. WC 200 XP)</w:t>
      </w:r>
    </w:p>
    <w:p w14:paraId="33D4E523" w14:textId="1F928698" w:rsidR="00D36294" w:rsidRPr="00D7468F" w:rsidRDefault="00D36294" w:rsidP="00A53FC9">
      <w:pPr>
        <w:ind w:left="-709"/>
        <w:jc w:val="both"/>
        <w:rPr>
          <w:rFonts w:ascii="Sto TT" w:eastAsia="Verdana" w:hAnsi="Sto TT" w:cs="Arial"/>
          <w:sz w:val="18"/>
          <w:szCs w:val="18"/>
        </w:rPr>
      </w:pPr>
      <w:r w:rsidRPr="00D7468F">
        <w:rPr>
          <w:rFonts w:ascii="Sto TT" w:eastAsia="Verdana" w:hAnsi="Sto TT" w:cs="Arial"/>
          <w:sz w:val="18"/>
          <w:szCs w:val="18"/>
        </w:rPr>
        <w:t>La longueur des agrafes est choisie en fonction de l’épaisseur d’isolant, avec une profondeur d’ancrage minimale de 30mm.</w:t>
      </w:r>
    </w:p>
    <w:p w14:paraId="096732C8" w14:textId="53424611" w:rsidR="00D36294" w:rsidRPr="00D7468F" w:rsidRDefault="00D36294" w:rsidP="00A53FC9">
      <w:pPr>
        <w:ind w:left="-709"/>
        <w:jc w:val="both"/>
        <w:rPr>
          <w:rFonts w:ascii="Sto TT" w:eastAsia="Verdana" w:hAnsi="Sto TT" w:cs="Arial"/>
          <w:sz w:val="18"/>
          <w:szCs w:val="18"/>
        </w:rPr>
      </w:pPr>
      <w:r w:rsidRPr="00D7468F">
        <w:rPr>
          <w:rFonts w:ascii="Sto TT" w:eastAsia="Verdana" w:hAnsi="Sto TT" w:cs="Arial"/>
          <w:sz w:val="18"/>
          <w:szCs w:val="18"/>
        </w:rPr>
        <w:t>En cas de fixation par agrafes, l’épaisseur d’isolant est limitée à 120mm.</w:t>
      </w:r>
    </w:p>
    <w:p w14:paraId="1FE49771" w14:textId="77777777" w:rsidR="00265A3D" w:rsidRPr="00D7468F" w:rsidRDefault="00265A3D" w:rsidP="00A53FC9">
      <w:pPr>
        <w:ind w:left="-709"/>
        <w:jc w:val="both"/>
        <w:rPr>
          <w:rFonts w:ascii="Sto TT" w:eastAsia="Verdana" w:hAnsi="Sto TT" w:cs="Arial"/>
          <w:b/>
          <w:bCs/>
          <w:sz w:val="18"/>
          <w:szCs w:val="18"/>
        </w:rPr>
      </w:pPr>
    </w:p>
    <w:p w14:paraId="2C8F649B" w14:textId="374CFF22" w:rsidR="00D36294" w:rsidRPr="00D7468F" w:rsidRDefault="00D36294" w:rsidP="00A53FC9">
      <w:pPr>
        <w:ind w:left="-709"/>
        <w:jc w:val="both"/>
        <w:rPr>
          <w:rFonts w:ascii="Sto TT" w:eastAsia="Verdana" w:hAnsi="Sto TT" w:cs="Arial"/>
          <w:b/>
          <w:bCs/>
          <w:sz w:val="18"/>
          <w:szCs w:val="18"/>
        </w:rPr>
      </w:pPr>
      <w:r w:rsidRPr="00D7468F">
        <w:rPr>
          <w:rFonts w:ascii="Sto TT" w:eastAsia="Verdana" w:hAnsi="Sto TT" w:cs="Arial"/>
          <w:b/>
          <w:bCs/>
          <w:sz w:val="18"/>
          <w:szCs w:val="18"/>
        </w:rPr>
        <w:t>Panneaux isolants en fibre de bois</w:t>
      </w:r>
    </w:p>
    <w:p w14:paraId="51BC2D17" w14:textId="77777777" w:rsidR="00A53FC9" w:rsidRPr="00D7468F" w:rsidRDefault="00D36294"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Les panneaux doivent être conformes à la norme </w:t>
      </w:r>
      <w:r w:rsidRPr="00D7468F">
        <w:rPr>
          <w:rFonts w:ascii="Sto TT" w:eastAsia="Verdana" w:hAnsi="Sto TT" w:cs="Arial"/>
          <w:b/>
          <w:bCs/>
          <w:sz w:val="18"/>
          <w:szCs w:val="18"/>
        </w:rPr>
        <w:t>NF EN 13162</w:t>
      </w:r>
      <w:r w:rsidRPr="00D7468F">
        <w:rPr>
          <w:rFonts w:ascii="Sto TT" w:eastAsia="Verdana" w:hAnsi="Sto TT" w:cs="Arial"/>
          <w:sz w:val="18"/>
          <w:szCs w:val="18"/>
        </w:rPr>
        <w:t xml:space="preserve">, porter le </w:t>
      </w:r>
      <w:r w:rsidRPr="00D7468F">
        <w:rPr>
          <w:rFonts w:ascii="Sto TT" w:eastAsia="Verdana" w:hAnsi="Sto TT" w:cs="Arial"/>
          <w:b/>
          <w:bCs/>
          <w:sz w:val="18"/>
          <w:szCs w:val="18"/>
        </w:rPr>
        <w:t>marquage CE</w:t>
      </w:r>
      <w:r w:rsidRPr="00D7468F">
        <w:rPr>
          <w:rFonts w:ascii="Sto TT" w:eastAsia="Verdana" w:hAnsi="Sto TT" w:cs="Arial"/>
          <w:sz w:val="18"/>
          <w:szCs w:val="18"/>
        </w:rPr>
        <w:t xml:space="preserve">, être accompagnés d’une </w:t>
      </w:r>
      <w:r w:rsidRPr="00D7468F">
        <w:rPr>
          <w:rFonts w:ascii="Sto TT" w:eastAsia="Verdana" w:hAnsi="Sto TT" w:cs="Arial"/>
          <w:b/>
          <w:bCs/>
          <w:sz w:val="18"/>
          <w:szCs w:val="18"/>
        </w:rPr>
        <w:t>Déclaration des Performances (DoP)</w:t>
      </w:r>
      <w:r w:rsidRPr="00D7468F">
        <w:rPr>
          <w:rFonts w:ascii="Sto TT" w:eastAsia="Verdana" w:hAnsi="Sto TT" w:cs="Arial"/>
          <w:sz w:val="18"/>
          <w:szCs w:val="18"/>
        </w:rPr>
        <w:t xml:space="preserve"> et d’un </w:t>
      </w:r>
      <w:r w:rsidRPr="00D7468F">
        <w:rPr>
          <w:rFonts w:ascii="Sto TT" w:eastAsia="Verdana" w:hAnsi="Sto TT" w:cs="Arial"/>
          <w:b/>
          <w:bCs/>
          <w:sz w:val="18"/>
          <w:szCs w:val="18"/>
        </w:rPr>
        <w:t>certificat ACERMI ou Keymark valide</w:t>
      </w:r>
      <w:r w:rsidRPr="00D7468F">
        <w:rPr>
          <w:rFonts w:ascii="Sto TT" w:eastAsia="Verdana" w:hAnsi="Sto TT" w:cs="Arial"/>
          <w:sz w:val="18"/>
          <w:szCs w:val="18"/>
        </w:rPr>
        <w:t>. Les épaisseurs maximales autorisées sont précisées dans chaque certificat.</w:t>
      </w:r>
    </w:p>
    <w:p w14:paraId="14135DBC" w14:textId="3B1AAC63" w:rsidR="00D36294" w:rsidRPr="00D7468F" w:rsidRDefault="00D36294" w:rsidP="00A53FC9">
      <w:pPr>
        <w:ind w:left="-709"/>
        <w:jc w:val="both"/>
        <w:rPr>
          <w:rFonts w:ascii="Sto TT" w:eastAsia="Verdana" w:hAnsi="Sto TT" w:cs="Arial"/>
          <w:sz w:val="18"/>
          <w:szCs w:val="18"/>
        </w:rPr>
      </w:pPr>
      <w:r w:rsidRPr="00D7468F">
        <w:rPr>
          <w:rFonts w:ascii="Sto TT" w:eastAsia="Verdana" w:hAnsi="Sto TT" w:cs="Arial"/>
          <w:sz w:val="18"/>
          <w:szCs w:val="18"/>
        </w:rPr>
        <w:t>Les caractéristiques techniques sont détaillées dans l’</w:t>
      </w:r>
      <w:r w:rsidRPr="00D7468F">
        <w:rPr>
          <w:rFonts w:ascii="Sto TT" w:eastAsia="Verdana" w:hAnsi="Sto TT" w:cs="Arial"/>
          <w:b/>
          <w:bCs/>
          <w:sz w:val="18"/>
          <w:szCs w:val="18"/>
        </w:rPr>
        <w:t>ETA-07/0023</w:t>
      </w:r>
      <w:r w:rsidRPr="00D7468F">
        <w:rPr>
          <w:rFonts w:ascii="Sto TT" w:eastAsia="Verdana" w:hAnsi="Sto TT" w:cs="Arial"/>
          <w:sz w:val="18"/>
          <w:szCs w:val="18"/>
        </w:rPr>
        <w:t>.</w:t>
      </w:r>
    </w:p>
    <w:p w14:paraId="45FFBD74" w14:textId="77777777" w:rsidR="00D36294" w:rsidRPr="00D7468F" w:rsidRDefault="00D36294" w:rsidP="00A53FC9">
      <w:pPr>
        <w:ind w:left="-709"/>
        <w:jc w:val="both"/>
        <w:rPr>
          <w:rFonts w:ascii="Sto TT" w:eastAsia="Verdana" w:hAnsi="Sto TT" w:cs="Arial"/>
          <w:sz w:val="18"/>
          <w:szCs w:val="18"/>
        </w:rPr>
      </w:pPr>
      <w:r w:rsidRPr="00D7468F">
        <w:rPr>
          <w:rFonts w:ascii="Sto TT" w:eastAsia="Verdana" w:hAnsi="Sto TT" w:cs="Arial"/>
          <w:b/>
          <w:bCs/>
          <w:sz w:val="18"/>
          <w:szCs w:val="18"/>
        </w:rPr>
        <w:t>Références Sto :</w:t>
      </w:r>
    </w:p>
    <w:p w14:paraId="7F13E1E7" w14:textId="3192D011" w:rsidR="00D36294" w:rsidRPr="00D7468F" w:rsidRDefault="00D36294" w:rsidP="00A53FC9">
      <w:pPr>
        <w:numPr>
          <w:ilvl w:val="0"/>
          <w:numId w:val="38"/>
        </w:numPr>
        <w:jc w:val="both"/>
        <w:rPr>
          <w:rFonts w:ascii="Sto TT" w:eastAsia="Verdana" w:hAnsi="Sto TT" w:cs="Arial"/>
          <w:sz w:val="18"/>
          <w:szCs w:val="18"/>
        </w:rPr>
      </w:pPr>
      <w:r w:rsidRPr="00D7468F">
        <w:rPr>
          <w:rFonts w:ascii="Sto TT" w:eastAsia="Verdana" w:hAnsi="Sto TT" w:cs="Arial"/>
          <w:b/>
          <w:bCs/>
          <w:sz w:val="18"/>
          <w:szCs w:val="18"/>
        </w:rPr>
        <w:t>Sto-Panneau Fibre de bois P 039</w:t>
      </w:r>
      <w:r w:rsidRPr="00D7468F">
        <w:rPr>
          <w:rFonts w:ascii="Sto TT" w:eastAsia="Verdana" w:hAnsi="Sto TT" w:cs="Arial"/>
          <w:sz w:val="18"/>
          <w:szCs w:val="18"/>
        </w:rPr>
        <w:t xml:space="preserve"> : panneau rigide à bords droits, non revêtu, dimensions 940 × 600mm.</w:t>
      </w:r>
    </w:p>
    <w:p w14:paraId="38CE6829" w14:textId="6844EA8C" w:rsidR="00D36294" w:rsidRPr="00D7468F" w:rsidRDefault="00D36294" w:rsidP="00A53FC9">
      <w:pPr>
        <w:numPr>
          <w:ilvl w:val="0"/>
          <w:numId w:val="38"/>
        </w:numPr>
        <w:jc w:val="both"/>
        <w:rPr>
          <w:rFonts w:ascii="Sto TT" w:eastAsia="Verdana" w:hAnsi="Sto TT" w:cs="Arial"/>
          <w:sz w:val="18"/>
          <w:szCs w:val="18"/>
        </w:rPr>
      </w:pPr>
      <w:r w:rsidRPr="00D7468F">
        <w:rPr>
          <w:rFonts w:ascii="Sto TT" w:eastAsia="Verdana" w:hAnsi="Sto TT" w:cs="Arial"/>
          <w:b/>
          <w:bCs/>
          <w:sz w:val="18"/>
          <w:szCs w:val="18"/>
        </w:rPr>
        <w:t>Sto-Panneau Fibre de bois M 039</w:t>
      </w:r>
      <w:r w:rsidRPr="00D7468F">
        <w:rPr>
          <w:rFonts w:ascii="Sto TT" w:eastAsia="Verdana" w:hAnsi="Sto TT" w:cs="Arial"/>
          <w:sz w:val="18"/>
          <w:szCs w:val="18"/>
        </w:rPr>
        <w:t xml:space="preserve"> : panneau rigide à bords droits, non revêtu, dimensions 1200 × 600mm.</w:t>
      </w:r>
    </w:p>
    <w:p w14:paraId="617EAF81" w14:textId="36E6FCEA" w:rsidR="00D36294" w:rsidRPr="00D7468F" w:rsidRDefault="00D36294" w:rsidP="00A53FC9">
      <w:pPr>
        <w:numPr>
          <w:ilvl w:val="0"/>
          <w:numId w:val="38"/>
        </w:numPr>
        <w:jc w:val="both"/>
        <w:rPr>
          <w:rFonts w:ascii="Sto TT" w:eastAsia="Verdana" w:hAnsi="Sto TT" w:cs="Arial"/>
          <w:sz w:val="18"/>
          <w:szCs w:val="18"/>
        </w:rPr>
      </w:pPr>
      <w:r w:rsidRPr="00D7468F">
        <w:rPr>
          <w:rFonts w:ascii="Sto TT" w:eastAsia="Verdana" w:hAnsi="Sto TT" w:cs="Arial"/>
          <w:b/>
          <w:bCs/>
          <w:sz w:val="18"/>
          <w:szCs w:val="18"/>
        </w:rPr>
        <w:t>Sto-Panneau Fibre de bois M 042</w:t>
      </w:r>
      <w:r w:rsidRPr="00D7468F">
        <w:rPr>
          <w:rFonts w:ascii="Sto TT" w:eastAsia="Verdana" w:hAnsi="Sto TT" w:cs="Arial"/>
          <w:sz w:val="18"/>
          <w:szCs w:val="18"/>
        </w:rPr>
        <w:t xml:space="preserve"> : panneau rigide à bords droits, non revêtu, dimensions 1250 × 590mm.</w:t>
      </w:r>
    </w:p>
    <w:p w14:paraId="3F720FC6" w14:textId="77777777" w:rsidR="00265A3D" w:rsidRPr="00D7468F" w:rsidRDefault="00265A3D" w:rsidP="00A53FC9">
      <w:pPr>
        <w:ind w:left="-709"/>
        <w:jc w:val="both"/>
        <w:rPr>
          <w:rFonts w:ascii="Sto TT" w:eastAsia="Verdana" w:hAnsi="Sto TT" w:cs="Arial"/>
          <w:sz w:val="18"/>
          <w:szCs w:val="18"/>
        </w:rPr>
      </w:pPr>
    </w:p>
    <w:p w14:paraId="00821380" w14:textId="77777777" w:rsidR="00265A3D" w:rsidRPr="00D7468F" w:rsidRDefault="00D36294"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Le </w:t>
      </w:r>
      <w:r w:rsidRPr="00D7468F">
        <w:rPr>
          <w:rFonts w:ascii="Sto TT" w:eastAsia="Verdana" w:hAnsi="Sto TT" w:cs="Arial"/>
          <w:b/>
          <w:bCs/>
          <w:sz w:val="18"/>
          <w:szCs w:val="18"/>
        </w:rPr>
        <w:t>choix des chevilles</w:t>
      </w:r>
      <w:r w:rsidRPr="00D7468F">
        <w:rPr>
          <w:rFonts w:ascii="Sto TT" w:eastAsia="Verdana" w:hAnsi="Sto TT" w:cs="Arial"/>
          <w:sz w:val="18"/>
          <w:szCs w:val="18"/>
        </w:rPr>
        <w:t xml:space="preserve"> doit être adapté à la nature du support et à l’épaisseur de l’isolant, conformément </w:t>
      </w:r>
      <w:r w:rsidR="00265A3D" w:rsidRPr="00D7468F">
        <w:rPr>
          <w:rFonts w:ascii="Sto TT" w:eastAsia="Verdana" w:hAnsi="Sto TT" w:cs="Arial"/>
          <w:sz w:val="18"/>
          <w:szCs w:val="18"/>
        </w:rPr>
        <w:t xml:space="preserve">à </w:t>
      </w:r>
      <w:r w:rsidRPr="00D7468F">
        <w:rPr>
          <w:rFonts w:ascii="Sto TT" w:eastAsia="Verdana" w:hAnsi="Sto TT" w:cs="Arial"/>
          <w:b/>
          <w:bCs/>
          <w:sz w:val="18"/>
          <w:szCs w:val="18"/>
        </w:rPr>
        <w:t>l’Avis Technique</w:t>
      </w:r>
      <w:r w:rsidRPr="00D7468F">
        <w:rPr>
          <w:rFonts w:ascii="Sto TT" w:eastAsia="Verdana" w:hAnsi="Sto TT" w:cs="Arial"/>
          <w:sz w:val="18"/>
          <w:szCs w:val="18"/>
        </w:rPr>
        <w:t>.</w:t>
      </w:r>
    </w:p>
    <w:p w14:paraId="4A834572" w14:textId="77777777" w:rsidR="00265A3D" w:rsidRPr="00D7468F" w:rsidRDefault="00265A3D" w:rsidP="00A53FC9">
      <w:pPr>
        <w:ind w:left="-709"/>
        <w:jc w:val="both"/>
        <w:rPr>
          <w:rFonts w:ascii="Sto TT" w:eastAsia="Verdana" w:hAnsi="Sto TT" w:cs="Arial"/>
          <w:sz w:val="18"/>
          <w:szCs w:val="18"/>
        </w:rPr>
      </w:pPr>
    </w:p>
    <w:p w14:paraId="405B8AD5" w14:textId="1932BCD7" w:rsidR="006942BE" w:rsidRPr="00D7468F" w:rsidRDefault="006942BE" w:rsidP="00A53FC9">
      <w:pPr>
        <w:ind w:left="-709"/>
        <w:jc w:val="both"/>
        <w:rPr>
          <w:rFonts w:ascii="Sto TT" w:eastAsia="Verdana" w:hAnsi="Sto TT" w:cs="Arial"/>
          <w:sz w:val="18"/>
          <w:szCs w:val="18"/>
        </w:rPr>
      </w:pPr>
      <w:r w:rsidRPr="00D7468F">
        <w:rPr>
          <w:rFonts w:ascii="Sto TT" w:eastAsia="Verdana" w:hAnsi="Sto TT" w:cs="Arial"/>
          <w:b/>
          <w:bCs/>
          <w:sz w:val="18"/>
          <w:szCs w:val="18"/>
        </w:rPr>
        <w:t>Stockage :</w:t>
      </w:r>
    </w:p>
    <w:p w14:paraId="7E6BE0A2" w14:textId="77777777" w:rsidR="00A53FC9" w:rsidRPr="00D7468F" w:rsidRDefault="006942BE"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Les panneaux doivent être stockés à l’abri des chocs et des intempéries à chaque étape, avant leur installation, pendant la </w:t>
      </w:r>
      <w:proofErr w:type="spellStart"/>
      <w:r w:rsidRPr="00D7468F">
        <w:rPr>
          <w:rFonts w:ascii="Sto TT" w:eastAsia="Verdana" w:hAnsi="Sto TT" w:cs="Arial"/>
          <w:sz w:val="18"/>
          <w:szCs w:val="18"/>
        </w:rPr>
        <w:t>pose</w:t>
      </w:r>
      <w:proofErr w:type="spellEnd"/>
      <w:r w:rsidRPr="00D7468F">
        <w:rPr>
          <w:rFonts w:ascii="Sto TT" w:eastAsia="Verdana" w:hAnsi="Sto TT" w:cs="Arial"/>
          <w:sz w:val="18"/>
          <w:szCs w:val="18"/>
        </w:rPr>
        <w:t>, ainsi qu’après la pose et jusqu’à l’application de l’enduit.</w:t>
      </w:r>
    </w:p>
    <w:p w14:paraId="12E9E725" w14:textId="0B95990C" w:rsidR="006942BE" w:rsidRPr="00D7468F" w:rsidRDefault="006942BE" w:rsidP="00A53FC9">
      <w:pPr>
        <w:ind w:left="-709"/>
        <w:jc w:val="both"/>
        <w:rPr>
          <w:rFonts w:ascii="Sto TT" w:eastAsia="Verdana" w:hAnsi="Sto TT" w:cs="Arial"/>
          <w:sz w:val="18"/>
          <w:szCs w:val="18"/>
        </w:rPr>
      </w:pPr>
      <w:r w:rsidRPr="00D7468F">
        <w:rPr>
          <w:rFonts w:ascii="Sto TT" w:eastAsia="Verdana" w:hAnsi="Sto TT" w:cs="Arial"/>
          <w:sz w:val="18"/>
          <w:szCs w:val="18"/>
        </w:rPr>
        <w:t>L’ouverture des emballages doit être réalisée au plus proche de la zone de pose.</w:t>
      </w:r>
    </w:p>
    <w:p w14:paraId="46ACB350" w14:textId="77777777" w:rsidR="00A53FC9" w:rsidRPr="00D7468F" w:rsidRDefault="00477D98" w:rsidP="00A53FC9">
      <w:pPr>
        <w:ind w:left="-709"/>
        <w:jc w:val="both"/>
        <w:rPr>
          <w:rFonts w:ascii="Sto TT" w:eastAsia="Verdana" w:hAnsi="Sto TT" w:cs="Arial"/>
          <w:b/>
          <w:bCs/>
          <w:sz w:val="18"/>
          <w:szCs w:val="18"/>
          <w:u w:val="single"/>
        </w:rPr>
      </w:pPr>
      <w:r w:rsidRPr="00D7468F">
        <w:rPr>
          <w:rFonts w:ascii="Sto TT" w:eastAsia="Verdana" w:hAnsi="Sto TT" w:cs="Arial"/>
          <w:sz w:val="18"/>
          <w:szCs w:val="18"/>
        </w:rPr>
        <w:br/>
      </w:r>
      <w:r w:rsidRPr="00D7468F">
        <w:rPr>
          <w:rFonts w:ascii="Sto TT" w:eastAsia="Verdana" w:hAnsi="Sto TT" w:cs="Arial"/>
          <w:b/>
          <w:bCs/>
          <w:sz w:val="18"/>
          <w:szCs w:val="18"/>
          <w:u w:val="single"/>
        </w:rPr>
        <w:t>Grilles de ventilation</w:t>
      </w:r>
    </w:p>
    <w:p w14:paraId="34670576" w14:textId="77777777" w:rsidR="00A53FC9"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Couper l'ouverture des grilles de ventilation dans les panneaux d'isolation et maroufler </w:t>
      </w:r>
      <w:r w:rsidRPr="00D7468F">
        <w:rPr>
          <w:rFonts w:ascii="Sto TT" w:eastAsia="Verdana" w:hAnsi="Sto TT" w:cs="Arial"/>
          <w:b/>
          <w:bCs/>
          <w:sz w:val="18"/>
          <w:szCs w:val="18"/>
        </w:rPr>
        <w:t xml:space="preserve">Sto-Fibre de Verre </w:t>
      </w:r>
      <w:r w:rsidRPr="00D7468F">
        <w:rPr>
          <w:rFonts w:ascii="Sto TT" w:eastAsia="Verdana" w:hAnsi="Sto TT" w:cs="Arial"/>
          <w:sz w:val="18"/>
          <w:szCs w:val="18"/>
        </w:rPr>
        <w:t>sur les bords de coupe du panneau isolant.</w:t>
      </w:r>
    </w:p>
    <w:p w14:paraId="761EC81B" w14:textId="77777777" w:rsidR="00A53FC9"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Rendre étanche les bords des panneaux avec </w:t>
      </w:r>
      <w:r w:rsidRPr="00D7468F">
        <w:rPr>
          <w:rFonts w:ascii="Sto TT" w:eastAsia="Verdana" w:hAnsi="Sto TT" w:cs="Arial"/>
          <w:b/>
          <w:bCs/>
          <w:sz w:val="18"/>
          <w:szCs w:val="18"/>
        </w:rPr>
        <w:t>Sto-Compribande Lento</w:t>
      </w:r>
      <w:r w:rsidRPr="00D7468F">
        <w:rPr>
          <w:rFonts w:ascii="Sto TT" w:eastAsia="Verdana" w:hAnsi="Sto TT" w:cs="Arial"/>
          <w:sz w:val="18"/>
          <w:szCs w:val="18"/>
        </w:rPr>
        <w:t>.</w:t>
      </w:r>
    </w:p>
    <w:p w14:paraId="44899602" w14:textId="77777777" w:rsidR="00A53FC9"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A la fin des travaux, poser une nouvelle grille.</w:t>
      </w:r>
    </w:p>
    <w:p w14:paraId="45B1FE61" w14:textId="77777777" w:rsidR="00A53FC9" w:rsidRPr="00D7468F" w:rsidRDefault="00477D98" w:rsidP="00A53FC9">
      <w:pPr>
        <w:ind w:left="-709"/>
        <w:jc w:val="both"/>
        <w:rPr>
          <w:rFonts w:ascii="Sto TT" w:eastAsia="Verdana" w:hAnsi="Sto TT" w:cs="Arial"/>
          <w:b/>
          <w:bCs/>
          <w:sz w:val="18"/>
          <w:szCs w:val="18"/>
        </w:rPr>
      </w:pPr>
      <w:r w:rsidRPr="00D7468F">
        <w:rPr>
          <w:rFonts w:ascii="Sto TT" w:eastAsia="Verdana" w:hAnsi="Sto TT" w:cs="Arial"/>
          <w:sz w:val="18"/>
          <w:szCs w:val="18"/>
        </w:rPr>
        <w:br/>
      </w:r>
      <w:r w:rsidRPr="00D7468F">
        <w:rPr>
          <w:rFonts w:ascii="Sto TT" w:eastAsia="Verdana" w:hAnsi="Sto TT" w:cs="Arial"/>
          <w:b/>
          <w:bCs/>
          <w:sz w:val="18"/>
          <w:szCs w:val="18"/>
          <w:u w:val="single"/>
        </w:rPr>
        <w:t>Joints de raccordement</w:t>
      </w:r>
      <w:r w:rsidRPr="00D7468F">
        <w:rPr>
          <w:rFonts w:ascii="Sto TT" w:eastAsia="Verdana" w:hAnsi="Sto TT" w:cs="Arial"/>
          <w:b/>
          <w:bCs/>
          <w:sz w:val="18"/>
          <w:szCs w:val="18"/>
        </w:rPr>
        <w:t xml:space="preserve"> (en périphérie ou changement de matériaux)</w:t>
      </w:r>
    </w:p>
    <w:p w14:paraId="483B3CAE" w14:textId="77777777" w:rsidR="00A53FC9"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Coller </w:t>
      </w:r>
      <w:r w:rsidRPr="00D7468F">
        <w:rPr>
          <w:rFonts w:ascii="Sto TT" w:eastAsia="Verdana" w:hAnsi="Sto TT" w:cs="Arial"/>
          <w:b/>
          <w:bCs/>
          <w:sz w:val="18"/>
          <w:szCs w:val="18"/>
        </w:rPr>
        <w:t xml:space="preserve">Sto-Compribande Lento </w:t>
      </w:r>
      <w:r w:rsidRPr="00D7468F">
        <w:rPr>
          <w:rFonts w:ascii="Sto TT" w:eastAsia="Verdana" w:hAnsi="Sto TT" w:cs="Arial"/>
          <w:sz w:val="18"/>
          <w:szCs w:val="18"/>
        </w:rPr>
        <w:t>(de dimension adaptée) au niveau de chaque raccordement de polystyrène (ou de panneau minéral) sur support.</w:t>
      </w:r>
    </w:p>
    <w:p w14:paraId="4BBABB94" w14:textId="77777777" w:rsidR="00A53FC9"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Serrer les panneaux polystyrène (ou minéral) sur la partie à raccorder.</w:t>
      </w:r>
    </w:p>
    <w:p w14:paraId="24C724EA" w14:textId="77777777" w:rsidR="00A53FC9"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Etaler la couche d'armature jusque sur le joint.</w:t>
      </w:r>
    </w:p>
    <w:p w14:paraId="6E709DCE" w14:textId="77777777" w:rsidR="00A53FC9" w:rsidRPr="00D7468F" w:rsidRDefault="00477D98" w:rsidP="00A53FC9">
      <w:pPr>
        <w:ind w:left="-709"/>
        <w:jc w:val="both"/>
        <w:rPr>
          <w:rFonts w:ascii="Sto TT" w:eastAsia="Verdana" w:hAnsi="Sto TT" w:cs="Arial"/>
          <w:sz w:val="18"/>
          <w:szCs w:val="18"/>
        </w:rPr>
      </w:pPr>
      <w:r w:rsidRPr="00D7468F">
        <w:rPr>
          <w:rFonts w:ascii="Sto TT" w:eastAsia="Verdana" w:hAnsi="Sto TT" w:cs="Arial"/>
          <w:b/>
          <w:bCs/>
          <w:sz w:val="18"/>
          <w:szCs w:val="18"/>
        </w:rPr>
        <w:t xml:space="preserve">Sto-Compribande Lento </w:t>
      </w:r>
      <w:r w:rsidRPr="00D7468F">
        <w:rPr>
          <w:rFonts w:ascii="Sto TT" w:eastAsia="Verdana" w:hAnsi="Sto TT" w:cs="Arial"/>
          <w:sz w:val="18"/>
          <w:szCs w:val="18"/>
        </w:rPr>
        <w:t>sera ensuite recouvert par le revêtement.</w:t>
      </w:r>
    </w:p>
    <w:p w14:paraId="45B6638D" w14:textId="77777777" w:rsidR="00A53FC9" w:rsidRPr="00D7468F" w:rsidRDefault="00477D98" w:rsidP="00A53FC9">
      <w:pPr>
        <w:ind w:left="-709"/>
        <w:jc w:val="both"/>
        <w:rPr>
          <w:rFonts w:ascii="Sto TT" w:eastAsia="Verdana" w:hAnsi="Sto TT" w:cs="Arial"/>
          <w:b/>
          <w:bCs/>
          <w:sz w:val="18"/>
          <w:szCs w:val="18"/>
          <w:u w:val="single"/>
        </w:rPr>
      </w:pPr>
      <w:r w:rsidRPr="00D7468F">
        <w:rPr>
          <w:rFonts w:ascii="Sto TT" w:eastAsia="Verdana" w:hAnsi="Sto TT" w:cs="Arial"/>
          <w:sz w:val="18"/>
          <w:szCs w:val="18"/>
        </w:rPr>
        <w:br/>
      </w:r>
      <w:r w:rsidRPr="00D7468F">
        <w:rPr>
          <w:rFonts w:ascii="Sto TT" w:eastAsia="Verdana" w:hAnsi="Sto TT" w:cs="Arial"/>
          <w:b/>
          <w:bCs/>
          <w:sz w:val="18"/>
          <w:szCs w:val="18"/>
          <w:u w:val="single"/>
        </w:rPr>
        <w:t>Formation des angles horizontaux avec Sto-Armature goutte d’eau</w:t>
      </w:r>
    </w:p>
    <w:p w14:paraId="1682A7F1" w14:textId="77777777" w:rsidR="00A53FC9"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Après la pose soignée en coupe de pierre des panneaux aux angles du bâtiment, protection des arêtes en sous face de linteaux (de fenêtre, par exemple) avec </w:t>
      </w:r>
      <w:r w:rsidRPr="00D7468F">
        <w:rPr>
          <w:rFonts w:ascii="Sto TT" w:eastAsia="Verdana" w:hAnsi="Sto TT" w:cs="Arial"/>
          <w:b/>
          <w:bCs/>
          <w:sz w:val="18"/>
          <w:szCs w:val="18"/>
        </w:rPr>
        <w:t>Sto-Armature goutte d’eau</w:t>
      </w:r>
      <w:r w:rsidRPr="00D7468F">
        <w:rPr>
          <w:rFonts w:ascii="Sto TT" w:eastAsia="Verdana" w:hAnsi="Sto TT" w:cs="Arial"/>
          <w:sz w:val="18"/>
          <w:szCs w:val="18"/>
        </w:rPr>
        <w:t xml:space="preserve">, comprenant une goutte d’eau et une cornière d'angle en PVC, revêtu de </w:t>
      </w:r>
      <w:r w:rsidRPr="00D7468F">
        <w:rPr>
          <w:rFonts w:ascii="Sto TT" w:eastAsia="Verdana" w:hAnsi="Sto TT" w:cs="Arial"/>
          <w:b/>
          <w:bCs/>
          <w:sz w:val="18"/>
          <w:szCs w:val="18"/>
        </w:rPr>
        <w:t xml:space="preserve">Sto-Fibre de Verre </w:t>
      </w:r>
      <w:r w:rsidRPr="00D7468F">
        <w:rPr>
          <w:rFonts w:ascii="Sto TT" w:eastAsia="Verdana" w:hAnsi="Sto TT" w:cs="Arial"/>
          <w:sz w:val="18"/>
          <w:szCs w:val="18"/>
        </w:rPr>
        <w:t>et marouflée dans l'enduit de base du système.</w:t>
      </w:r>
    </w:p>
    <w:p w14:paraId="082E7419" w14:textId="77777777" w:rsidR="00A53FC9"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Recouvrement de 10 cm sur </w:t>
      </w:r>
      <w:r w:rsidRPr="00D7468F">
        <w:rPr>
          <w:rFonts w:ascii="Sto TT" w:eastAsia="Verdana" w:hAnsi="Sto TT" w:cs="Arial"/>
          <w:b/>
          <w:bCs/>
          <w:sz w:val="18"/>
          <w:szCs w:val="18"/>
        </w:rPr>
        <w:t>Sto-Fibre de Verre</w:t>
      </w:r>
      <w:r w:rsidRPr="00D7468F">
        <w:rPr>
          <w:rFonts w:ascii="Sto TT" w:eastAsia="Verdana" w:hAnsi="Sto TT" w:cs="Arial"/>
          <w:sz w:val="18"/>
          <w:szCs w:val="18"/>
        </w:rPr>
        <w:t>.</w:t>
      </w:r>
    </w:p>
    <w:p w14:paraId="77A6A0BD" w14:textId="77777777" w:rsidR="00A53FC9" w:rsidRPr="00D7468F" w:rsidRDefault="00477D98" w:rsidP="00A53FC9">
      <w:pPr>
        <w:ind w:left="-709"/>
        <w:jc w:val="both"/>
        <w:rPr>
          <w:rFonts w:ascii="Sto TT" w:eastAsia="Verdana" w:hAnsi="Sto TT" w:cs="Arial"/>
          <w:b/>
          <w:bCs/>
          <w:sz w:val="18"/>
          <w:szCs w:val="18"/>
          <w:u w:val="single"/>
        </w:rPr>
      </w:pPr>
      <w:r w:rsidRPr="00D7468F">
        <w:rPr>
          <w:rFonts w:ascii="Sto TT" w:eastAsia="Verdana" w:hAnsi="Sto TT" w:cs="Arial"/>
          <w:sz w:val="18"/>
          <w:szCs w:val="18"/>
        </w:rPr>
        <w:br/>
      </w:r>
      <w:r w:rsidRPr="00D7468F">
        <w:rPr>
          <w:rFonts w:ascii="Sto TT" w:eastAsia="Verdana" w:hAnsi="Sto TT" w:cs="Arial"/>
          <w:b/>
          <w:bCs/>
          <w:sz w:val="18"/>
          <w:szCs w:val="18"/>
          <w:u w:val="single"/>
        </w:rPr>
        <w:t>Formation des angles verticaux avec Sto-Armature d'angle</w:t>
      </w:r>
    </w:p>
    <w:p w14:paraId="606C13E2" w14:textId="77777777" w:rsidR="00B42BB8"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Après la pose soignée en coupe de pierre des panneaux aux angles du bâtiment, protection des arêtes avec </w:t>
      </w:r>
      <w:r w:rsidRPr="00D7468F">
        <w:rPr>
          <w:rFonts w:ascii="Sto TT" w:eastAsia="Verdana" w:hAnsi="Sto TT" w:cs="Arial"/>
          <w:b/>
          <w:bCs/>
          <w:sz w:val="18"/>
          <w:szCs w:val="18"/>
        </w:rPr>
        <w:t>Sto-Armature d'Angle</w:t>
      </w:r>
      <w:r w:rsidRPr="00D7468F">
        <w:rPr>
          <w:rFonts w:ascii="Sto TT" w:eastAsia="Verdana" w:hAnsi="Sto TT" w:cs="Arial"/>
          <w:sz w:val="18"/>
          <w:szCs w:val="18"/>
        </w:rPr>
        <w:t>, cornière d'angle en PVC revêtue de fibre de verre et marouflée dans l'enduit de base du système.</w:t>
      </w:r>
    </w:p>
    <w:p w14:paraId="12D923F1" w14:textId="2D43BF89" w:rsidR="00A53FC9"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Recouvrement de10 cm sur </w:t>
      </w:r>
      <w:r w:rsidRPr="00D7468F">
        <w:rPr>
          <w:rFonts w:ascii="Sto TT" w:eastAsia="Verdana" w:hAnsi="Sto TT" w:cs="Arial"/>
          <w:b/>
          <w:bCs/>
          <w:sz w:val="18"/>
          <w:szCs w:val="18"/>
        </w:rPr>
        <w:t>Sto-Fibre de Verre</w:t>
      </w:r>
      <w:r w:rsidRPr="00D7468F">
        <w:rPr>
          <w:rFonts w:ascii="Sto TT" w:eastAsia="Verdana" w:hAnsi="Sto TT" w:cs="Arial"/>
          <w:sz w:val="18"/>
          <w:szCs w:val="18"/>
        </w:rPr>
        <w:t>.</w:t>
      </w:r>
    </w:p>
    <w:p w14:paraId="35486E1E" w14:textId="77777777" w:rsidR="00A53FC9" w:rsidRPr="00D7468F" w:rsidRDefault="00477D98" w:rsidP="00A53FC9">
      <w:pPr>
        <w:ind w:left="-709"/>
        <w:jc w:val="both"/>
        <w:rPr>
          <w:rFonts w:ascii="Sto TT" w:eastAsia="Verdana" w:hAnsi="Sto TT" w:cs="Arial"/>
          <w:b/>
          <w:bCs/>
          <w:sz w:val="18"/>
          <w:szCs w:val="18"/>
        </w:rPr>
      </w:pPr>
      <w:r w:rsidRPr="00D7468F">
        <w:rPr>
          <w:rFonts w:ascii="Sto TT" w:eastAsia="Verdana" w:hAnsi="Sto TT" w:cs="Arial"/>
          <w:sz w:val="18"/>
          <w:szCs w:val="18"/>
        </w:rPr>
        <w:br/>
      </w:r>
      <w:r w:rsidRPr="00D7468F">
        <w:rPr>
          <w:rFonts w:ascii="Sto TT" w:eastAsia="Verdana" w:hAnsi="Sto TT" w:cs="Arial"/>
          <w:b/>
          <w:bCs/>
          <w:sz w:val="18"/>
          <w:szCs w:val="18"/>
          <w:u w:val="single"/>
        </w:rPr>
        <w:t xml:space="preserve">Zones de façades exposées aux chocs </w:t>
      </w:r>
      <w:r w:rsidRPr="00D7468F">
        <w:rPr>
          <w:rFonts w:ascii="Sto TT" w:eastAsia="Verdana" w:hAnsi="Sto TT" w:cs="Arial"/>
          <w:b/>
          <w:bCs/>
          <w:sz w:val="18"/>
          <w:szCs w:val="18"/>
        </w:rPr>
        <w:t xml:space="preserve">(Par exemple, passage pour circulation, entrées d'immeubles, </w:t>
      </w:r>
      <w:r w:rsidR="002516BD" w:rsidRPr="00D7468F">
        <w:rPr>
          <w:rFonts w:ascii="Sto TT" w:eastAsia="Verdana" w:hAnsi="Sto TT" w:cs="Arial"/>
          <w:b/>
          <w:bCs/>
          <w:sz w:val="18"/>
          <w:szCs w:val="18"/>
        </w:rPr>
        <w:t>etc.</w:t>
      </w:r>
      <w:r w:rsidRPr="00D7468F">
        <w:rPr>
          <w:rFonts w:ascii="Sto TT" w:eastAsia="Verdana" w:hAnsi="Sto TT" w:cs="Arial"/>
          <w:b/>
          <w:bCs/>
          <w:sz w:val="18"/>
          <w:szCs w:val="18"/>
        </w:rPr>
        <w:t>)</w:t>
      </w:r>
    </w:p>
    <w:p w14:paraId="78B93388" w14:textId="77777777" w:rsidR="00B42BB8"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Appliquer l'enduit de marouflage en couche totalement couvrante, puis y maroufler </w:t>
      </w:r>
      <w:r w:rsidRPr="00D7468F">
        <w:rPr>
          <w:rFonts w:ascii="Sto TT" w:eastAsia="Verdana" w:hAnsi="Sto TT" w:cs="Arial"/>
          <w:b/>
          <w:bCs/>
          <w:sz w:val="18"/>
          <w:szCs w:val="18"/>
        </w:rPr>
        <w:t xml:space="preserve">Sto-Fibre de Blindage </w:t>
      </w:r>
      <w:r w:rsidRPr="00D7468F">
        <w:rPr>
          <w:rFonts w:ascii="Sto TT" w:eastAsia="Verdana" w:hAnsi="Sto TT" w:cs="Arial"/>
          <w:sz w:val="18"/>
          <w:szCs w:val="18"/>
        </w:rPr>
        <w:t>et égaliser.</w:t>
      </w:r>
    </w:p>
    <w:p w14:paraId="7DC688DB" w14:textId="73FAE682" w:rsidR="00A53FC9"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Poser </w:t>
      </w:r>
      <w:r w:rsidRPr="00D7468F">
        <w:rPr>
          <w:rFonts w:ascii="Sto TT" w:eastAsia="Verdana" w:hAnsi="Sto TT" w:cs="Arial"/>
          <w:b/>
          <w:bCs/>
          <w:sz w:val="18"/>
          <w:szCs w:val="18"/>
        </w:rPr>
        <w:t xml:space="preserve">Sto-Fibre de Blindage </w:t>
      </w:r>
      <w:r w:rsidRPr="00D7468F">
        <w:rPr>
          <w:rFonts w:ascii="Sto TT" w:eastAsia="Verdana" w:hAnsi="Sto TT" w:cs="Arial"/>
          <w:sz w:val="18"/>
          <w:szCs w:val="18"/>
        </w:rPr>
        <w:t>bord à bord, sans recouvrement.</w:t>
      </w:r>
    </w:p>
    <w:p w14:paraId="49BD6BA6" w14:textId="77777777" w:rsidR="00A53FC9"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u w:val="single"/>
        </w:rPr>
        <w:lastRenderedPageBreak/>
        <w:t>Nota</w:t>
      </w:r>
      <w:r w:rsidRPr="00D7468F">
        <w:rPr>
          <w:rFonts w:ascii="Sto TT" w:eastAsia="Verdana" w:hAnsi="Sto TT" w:cs="Arial"/>
          <w:sz w:val="18"/>
          <w:szCs w:val="18"/>
        </w:rPr>
        <w:t xml:space="preserve"> : l'armature normale sera marouflée en recouvrement de ces zones renforcées.</w:t>
      </w:r>
    </w:p>
    <w:p w14:paraId="39A06658" w14:textId="02D79600" w:rsidR="00AE54F5" w:rsidRPr="00D7468F" w:rsidRDefault="00AE54F5" w:rsidP="00A53FC9">
      <w:pPr>
        <w:ind w:left="-709"/>
        <w:jc w:val="both"/>
        <w:rPr>
          <w:rFonts w:ascii="Sto TT" w:eastAsia="Verdana" w:hAnsi="Sto TT" w:cs="Arial"/>
          <w:sz w:val="18"/>
          <w:szCs w:val="18"/>
        </w:rPr>
      </w:pPr>
    </w:p>
    <w:p w14:paraId="3BEC0858" w14:textId="77777777" w:rsidR="00D57FC8" w:rsidRPr="00D7468F" w:rsidRDefault="00D57FC8" w:rsidP="00A53FC9">
      <w:pPr>
        <w:ind w:left="-709"/>
        <w:jc w:val="both"/>
        <w:rPr>
          <w:rFonts w:ascii="Sto TT" w:eastAsia="Verdana" w:hAnsi="Sto TT" w:cs="Arial"/>
          <w:sz w:val="18"/>
          <w:szCs w:val="18"/>
        </w:rPr>
      </w:pPr>
    </w:p>
    <w:p w14:paraId="2139BC85" w14:textId="77777777" w:rsidR="00A53FC9" w:rsidRPr="00D7468F" w:rsidRDefault="00477D98" w:rsidP="00A53FC9">
      <w:pPr>
        <w:ind w:left="-709"/>
        <w:jc w:val="both"/>
        <w:rPr>
          <w:rFonts w:ascii="Sto TT" w:eastAsia="Verdana" w:hAnsi="Sto TT" w:cs="Arial"/>
          <w:b/>
          <w:bCs/>
          <w:sz w:val="18"/>
          <w:szCs w:val="18"/>
          <w:u w:val="single"/>
        </w:rPr>
      </w:pPr>
      <w:r w:rsidRPr="00D7468F">
        <w:rPr>
          <w:rFonts w:ascii="Sto TT" w:eastAsia="Verdana" w:hAnsi="Sto TT" w:cs="Arial"/>
          <w:b/>
          <w:bCs/>
          <w:sz w:val="18"/>
          <w:szCs w:val="18"/>
          <w:u w:val="single"/>
        </w:rPr>
        <w:t>Traitement des ouvertures</w:t>
      </w:r>
    </w:p>
    <w:p w14:paraId="46D0294A" w14:textId="3F020FCF" w:rsidR="001F553D" w:rsidRPr="00D7468F" w:rsidRDefault="001F553D" w:rsidP="00A53FC9">
      <w:pPr>
        <w:ind w:left="-709"/>
        <w:jc w:val="both"/>
        <w:rPr>
          <w:rFonts w:ascii="Sto TT" w:eastAsia="Verdana" w:hAnsi="Sto TT" w:cs="Arial"/>
          <w:sz w:val="18"/>
          <w:szCs w:val="18"/>
        </w:rPr>
      </w:pPr>
      <w:r w:rsidRPr="00D7468F">
        <w:rPr>
          <w:rFonts w:ascii="Sto TT" w:eastAsia="Verdana" w:hAnsi="Sto TT" w:cs="Arial"/>
          <w:sz w:val="18"/>
          <w:szCs w:val="18"/>
        </w:rPr>
        <w:t>Les embrasures, retours de tableaux et linteaux peuvent être réalisés avec différents types d’isolants : polystyrène expansé, laine de roche, mousse phénolique ou fibre de bois. Il est impératif que l’isolant en partie courante recouvre la tranche de l’isolant des encadrements afin d’assurer la continuité thermique et une finition homogène.</w:t>
      </w:r>
    </w:p>
    <w:p w14:paraId="74AF076B" w14:textId="77777777" w:rsidR="0090689E" w:rsidRPr="00D7468F" w:rsidRDefault="0090689E" w:rsidP="00A53FC9">
      <w:pPr>
        <w:ind w:left="-709"/>
        <w:jc w:val="both"/>
        <w:rPr>
          <w:rFonts w:ascii="Sto TT" w:eastAsia="Verdana" w:hAnsi="Sto TT" w:cs="Arial"/>
          <w:sz w:val="18"/>
          <w:szCs w:val="18"/>
        </w:rPr>
      </w:pPr>
    </w:p>
    <w:p w14:paraId="3ACCC709" w14:textId="77777777" w:rsidR="001F553D" w:rsidRPr="00D7468F" w:rsidRDefault="001F553D"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Avant le marouflage général, chaque angle d’ouverture (fenêtres, portes, etc.) doit être renforcé par l’intégration d’un mouchoir en </w:t>
      </w:r>
      <w:r w:rsidRPr="00D7468F">
        <w:rPr>
          <w:rFonts w:ascii="Sto TT" w:eastAsia="Verdana" w:hAnsi="Sto TT" w:cs="Arial"/>
          <w:b/>
          <w:bCs/>
          <w:sz w:val="18"/>
          <w:szCs w:val="18"/>
        </w:rPr>
        <w:t>Sto-Fibre de Verre</w:t>
      </w:r>
      <w:r w:rsidRPr="00D7468F">
        <w:rPr>
          <w:rFonts w:ascii="Sto TT" w:eastAsia="Verdana" w:hAnsi="Sto TT" w:cs="Arial"/>
          <w:sz w:val="18"/>
          <w:szCs w:val="18"/>
        </w:rPr>
        <w:t xml:space="preserve"> de dimensions </w:t>
      </w:r>
      <w:r w:rsidRPr="00D7468F">
        <w:rPr>
          <w:rFonts w:ascii="Sto TT" w:eastAsia="Verdana" w:hAnsi="Sto TT" w:cs="Arial"/>
          <w:b/>
          <w:bCs/>
          <w:sz w:val="18"/>
          <w:szCs w:val="18"/>
        </w:rPr>
        <w:t>30 × 30 cm</w:t>
      </w:r>
      <w:r w:rsidRPr="00D7468F">
        <w:rPr>
          <w:rFonts w:ascii="Sto TT" w:eastAsia="Verdana" w:hAnsi="Sto TT" w:cs="Arial"/>
          <w:sz w:val="18"/>
          <w:szCs w:val="18"/>
        </w:rPr>
        <w:t>, marouflé dans l’enduit de base.</w:t>
      </w:r>
    </w:p>
    <w:p w14:paraId="5CFC853A" w14:textId="77777777" w:rsidR="001F553D" w:rsidRPr="00D7468F" w:rsidRDefault="001F553D"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Pour garantir une jonction durable, esthétique et étanche entre l’enduit et les menuiseries, l’utilisation du </w:t>
      </w:r>
      <w:r w:rsidRPr="00D7468F">
        <w:rPr>
          <w:rFonts w:ascii="Sto TT" w:eastAsia="Verdana" w:hAnsi="Sto TT" w:cs="Arial"/>
          <w:b/>
          <w:bCs/>
          <w:sz w:val="18"/>
          <w:szCs w:val="18"/>
        </w:rPr>
        <w:t>Sto-Profile Seal Medano</w:t>
      </w:r>
      <w:r w:rsidRPr="00D7468F">
        <w:rPr>
          <w:rFonts w:ascii="Sto TT" w:eastAsia="Verdana" w:hAnsi="Sto TT" w:cs="Arial"/>
          <w:sz w:val="18"/>
          <w:szCs w:val="18"/>
        </w:rPr>
        <w:t xml:space="preserve"> est recommandée. Ce profilé permet de désolidariser l’enduit du dormant sans recours à un mastic, assurant ainsi une finition nette tout en maintenant l’étanchéité à l’air et à l’eau.</w:t>
      </w:r>
    </w:p>
    <w:p w14:paraId="6D6C330A" w14:textId="5E8FDD8E" w:rsidR="001D5107" w:rsidRPr="00D7468F" w:rsidRDefault="001D5107" w:rsidP="00B2657D">
      <w:pPr>
        <w:ind w:left="-709"/>
        <w:jc w:val="center"/>
        <w:rPr>
          <w:rFonts w:ascii="Sto TT" w:eastAsia="Verdana" w:hAnsi="Sto TT" w:cs="Arial"/>
          <w:sz w:val="18"/>
          <w:szCs w:val="18"/>
        </w:rPr>
      </w:pPr>
      <w:r w:rsidRPr="00D7468F">
        <w:rPr>
          <w:rFonts w:ascii="Sto TT" w:hAnsi="Sto TT"/>
          <w:noProof/>
          <w:sz w:val="18"/>
          <w:szCs w:val="18"/>
        </w:rPr>
        <w:drawing>
          <wp:inline distT="0" distB="0" distL="0" distR="0" wp14:anchorId="33DDF464" wp14:editId="64F56230">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2D3BEAA0" w14:textId="77777777" w:rsidR="00A53FC9" w:rsidRPr="00D7468F" w:rsidRDefault="00477D98" w:rsidP="00A53FC9">
      <w:pPr>
        <w:ind w:left="-709" w:right="1"/>
        <w:jc w:val="both"/>
        <w:rPr>
          <w:rFonts w:ascii="Sto TT" w:eastAsia="Verdana" w:hAnsi="Sto TT" w:cs="Arial"/>
          <w:b/>
          <w:bCs/>
          <w:sz w:val="18"/>
          <w:szCs w:val="18"/>
          <w:u w:val="single"/>
        </w:rPr>
      </w:pPr>
      <w:r w:rsidRPr="00D7468F">
        <w:rPr>
          <w:rFonts w:ascii="Sto TT" w:eastAsia="Verdana" w:hAnsi="Sto TT" w:cs="Arial"/>
          <w:b/>
          <w:bCs/>
          <w:sz w:val="18"/>
          <w:szCs w:val="18"/>
          <w:u w:val="single"/>
        </w:rPr>
        <w:t>Jonction entre rails</w:t>
      </w:r>
    </w:p>
    <w:p w14:paraId="2D1AD58A" w14:textId="77777777" w:rsidR="00A53FC9" w:rsidRPr="00D7468F" w:rsidRDefault="00477D98" w:rsidP="00A53FC9">
      <w:pPr>
        <w:ind w:left="-709" w:right="1"/>
        <w:jc w:val="both"/>
        <w:rPr>
          <w:rFonts w:ascii="Sto TT" w:eastAsia="Verdana" w:hAnsi="Sto TT" w:cs="Arial"/>
          <w:sz w:val="18"/>
          <w:szCs w:val="18"/>
        </w:rPr>
      </w:pPr>
      <w:r w:rsidRPr="00D7468F">
        <w:rPr>
          <w:rFonts w:ascii="Sto TT" w:eastAsia="Verdana" w:hAnsi="Sto TT" w:cs="Arial"/>
          <w:sz w:val="18"/>
          <w:szCs w:val="18"/>
        </w:rPr>
        <w:t xml:space="preserve">Les jonctions entre les rails de départ et les rails latéraux seront traités à l'aide d'un mouchoir en </w:t>
      </w:r>
      <w:r w:rsidRPr="00D7468F">
        <w:rPr>
          <w:rFonts w:ascii="Sto TT" w:eastAsia="Verdana" w:hAnsi="Sto TT" w:cs="Arial"/>
          <w:b/>
          <w:bCs/>
          <w:sz w:val="18"/>
          <w:szCs w:val="18"/>
        </w:rPr>
        <w:t>Sto-Fibre de Verre</w:t>
      </w:r>
      <w:r w:rsidRPr="00D7468F">
        <w:rPr>
          <w:rFonts w:ascii="Sto TT" w:eastAsia="Verdana" w:hAnsi="Sto TT" w:cs="Arial"/>
          <w:sz w:val="18"/>
          <w:szCs w:val="18"/>
        </w:rPr>
        <w:t xml:space="preserve"> ou à l'aide du </w:t>
      </w:r>
      <w:r w:rsidRPr="00D7468F">
        <w:rPr>
          <w:rFonts w:ascii="Sto TT" w:eastAsia="Verdana" w:hAnsi="Sto TT" w:cs="Arial"/>
          <w:b/>
          <w:bCs/>
          <w:sz w:val="18"/>
          <w:szCs w:val="18"/>
        </w:rPr>
        <w:t>Sto-Profil à clipser TR</w:t>
      </w:r>
      <w:r w:rsidRPr="00D7468F">
        <w:rPr>
          <w:rFonts w:ascii="Sto TT" w:eastAsia="Verdana" w:hAnsi="Sto TT" w:cs="Arial"/>
          <w:sz w:val="18"/>
          <w:szCs w:val="18"/>
        </w:rPr>
        <w:t>.</w:t>
      </w:r>
    </w:p>
    <w:p w14:paraId="27837196" w14:textId="77777777" w:rsidR="00A53FC9" w:rsidRPr="00D7468F" w:rsidRDefault="00477D98" w:rsidP="00A53FC9">
      <w:pPr>
        <w:ind w:left="-709" w:right="1"/>
        <w:jc w:val="both"/>
        <w:rPr>
          <w:rFonts w:ascii="Sto TT" w:eastAsia="Verdana" w:hAnsi="Sto TT" w:cs="Arial"/>
          <w:b/>
          <w:bCs/>
          <w:sz w:val="18"/>
          <w:szCs w:val="18"/>
          <w:u w:val="single"/>
        </w:rPr>
      </w:pPr>
      <w:r w:rsidRPr="00D7468F">
        <w:rPr>
          <w:rFonts w:ascii="Sto TT" w:eastAsia="Verdana" w:hAnsi="Sto TT" w:cs="Arial"/>
          <w:sz w:val="18"/>
          <w:szCs w:val="18"/>
        </w:rPr>
        <w:br/>
      </w:r>
      <w:r w:rsidRPr="00D7468F">
        <w:rPr>
          <w:rFonts w:ascii="Sto TT" w:eastAsia="Verdana" w:hAnsi="Sto TT" w:cs="Arial"/>
          <w:b/>
          <w:bCs/>
          <w:sz w:val="18"/>
          <w:szCs w:val="18"/>
          <w:u w:val="single"/>
        </w:rPr>
        <w:t>Couche de base fibrée</w:t>
      </w:r>
    </w:p>
    <w:p w14:paraId="66C86CFF" w14:textId="78A94FDF" w:rsidR="00C7347B" w:rsidRPr="00D7468F" w:rsidRDefault="00D52E1F" w:rsidP="00A53FC9">
      <w:pPr>
        <w:ind w:left="-709" w:right="1"/>
        <w:jc w:val="both"/>
        <w:rPr>
          <w:rFonts w:ascii="Sto TT" w:eastAsia="Verdana" w:hAnsi="Sto TT" w:cs="Arial"/>
          <w:sz w:val="18"/>
          <w:szCs w:val="18"/>
        </w:rPr>
      </w:pPr>
      <w:r w:rsidRPr="00D7468F">
        <w:rPr>
          <w:rFonts w:ascii="Sto TT" w:eastAsia="Verdana" w:hAnsi="Sto TT" w:cs="Arial"/>
          <w:sz w:val="18"/>
          <w:szCs w:val="18"/>
        </w:rPr>
        <w:t xml:space="preserve">La couche de base </w:t>
      </w:r>
      <w:r w:rsidR="004869CB" w:rsidRPr="00D7468F">
        <w:rPr>
          <w:rFonts w:ascii="Sto TT" w:eastAsia="Verdana" w:hAnsi="Sto TT" w:cs="Arial"/>
          <w:b/>
          <w:bCs/>
          <w:sz w:val="18"/>
          <w:szCs w:val="18"/>
        </w:rPr>
        <w:t xml:space="preserve">StoLevell uni </w:t>
      </w:r>
      <w:r w:rsidRPr="00D7468F">
        <w:rPr>
          <w:rFonts w:ascii="Sto TT" w:eastAsia="Verdana" w:hAnsi="Sto TT" w:cs="Arial"/>
          <w:sz w:val="18"/>
          <w:szCs w:val="18"/>
        </w:rPr>
        <w:t xml:space="preserve">doit être appliquée en deux passes, avec un délai de séchage minimum de 24 heures entre chaque passe. La première passe, d’au moins </w:t>
      </w:r>
      <w:r w:rsidR="00D8128E" w:rsidRPr="00D7468F">
        <w:rPr>
          <w:rFonts w:ascii="Sto TT" w:eastAsia="Verdana" w:hAnsi="Sto TT" w:cs="Arial"/>
          <w:b/>
          <w:bCs/>
          <w:sz w:val="18"/>
          <w:szCs w:val="18"/>
        </w:rPr>
        <w:t>5</w:t>
      </w:r>
      <w:r w:rsidRPr="00D7468F">
        <w:rPr>
          <w:rFonts w:ascii="Sto TT" w:eastAsia="Verdana" w:hAnsi="Sto TT" w:cs="Arial"/>
          <w:b/>
          <w:bCs/>
          <w:sz w:val="18"/>
          <w:szCs w:val="18"/>
        </w:rPr>
        <w:t>,</w:t>
      </w:r>
      <w:r w:rsidR="00D8128E" w:rsidRPr="00D7468F">
        <w:rPr>
          <w:rFonts w:ascii="Sto TT" w:eastAsia="Verdana" w:hAnsi="Sto TT" w:cs="Arial"/>
          <w:b/>
          <w:bCs/>
          <w:sz w:val="18"/>
          <w:szCs w:val="18"/>
        </w:rPr>
        <w:t>0</w:t>
      </w:r>
      <w:r w:rsidRPr="00D7468F">
        <w:rPr>
          <w:rFonts w:ascii="Sto TT" w:eastAsia="Verdana" w:hAnsi="Sto TT" w:cs="Arial"/>
          <w:b/>
          <w:bCs/>
          <w:sz w:val="18"/>
          <w:szCs w:val="18"/>
        </w:rPr>
        <w:t xml:space="preserve"> kg/m²,</w:t>
      </w:r>
      <w:r w:rsidRPr="00D7468F">
        <w:rPr>
          <w:rFonts w:ascii="Sto TT" w:eastAsia="Verdana" w:hAnsi="Sto TT" w:cs="Arial"/>
          <w:sz w:val="18"/>
          <w:szCs w:val="18"/>
        </w:rPr>
        <w:t xml:space="preserve"> est réalisée à la taloche crantée 6x6 mm avec marouflage du treillis Sto-Fibre de Verre Standard. La seconde passe, d’au moins </w:t>
      </w:r>
      <w:r w:rsidRPr="00D7468F">
        <w:rPr>
          <w:rFonts w:ascii="Sto TT" w:eastAsia="Verdana" w:hAnsi="Sto TT" w:cs="Arial"/>
          <w:b/>
          <w:bCs/>
          <w:sz w:val="18"/>
          <w:szCs w:val="18"/>
        </w:rPr>
        <w:t>2,5 kg/m²</w:t>
      </w:r>
      <w:r w:rsidRPr="00D7468F">
        <w:rPr>
          <w:rFonts w:ascii="Sto TT" w:eastAsia="Verdana" w:hAnsi="Sto TT" w:cs="Arial"/>
          <w:sz w:val="18"/>
          <w:szCs w:val="18"/>
        </w:rPr>
        <w:t xml:space="preserve">, est appliquée à la taloche lisse pour assurer le lissage. Le recouvrement aux joints du treillis doit être de 10 cm. L’épaisseur minimale de la couche de base armée à l’état sec est de </w:t>
      </w:r>
      <w:r w:rsidRPr="00D7468F">
        <w:rPr>
          <w:rFonts w:ascii="Sto TT" w:eastAsia="Verdana" w:hAnsi="Sto TT" w:cs="Arial"/>
          <w:b/>
          <w:bCs/>
          <w:sz w:val="18"/>
          <w:szCs w:val="18"/>
        </w:rPr>
        <w:t>5,0 mm</w:t>
      </w:r>
      <w:r w:rsidRPr="00D7468F">
        <w:rPr>
          <w:rFonts w:ascii="Sto TT" w:eastAsia="Verdana" w:hAnsi="Sto TT" w:cs="Arial"/>
          <w:sz w:val="18"/>
          <w:szCs w:val="18"/>
        </w:rPr>
        <w:t>, et celle-ci doit être parfaitement sèche à cœur avant l’application du revêtement de finition. Le séchage total varie de 24 à 48 heures selon les conditions climatiques.</w:t>
      </w:r>
    </w:p>
    <w:p w14:paraId="0F03B5F4" w14:textId="77777777" w:rsidR="00D40495" w:rsidRPr="00D7468F" w:rsidRDefault="00D40495" w:rsidP="00A53FC9">
      <w:pPr>
        <w:ind w:left="-709" w:right="1"/>
        <w:jc w:val="both"/>
        <w:rPr>
          <w:rFonts w:ascii="Sto TT" w:eastAsia="Verdana" w:hAnsi="Sto TT" w:cs="Arial"/>
          <w:sz w:val="18"/>
          <w:szCs w:val="18"/>
        </w:rPr>
      </w:pPr>
    </w:p>
    <w:p w14:paraId="0902592B" w14:textId="77777777" w:rsidR="00A53FC9" w:rsidRPr="00D7468F" w:rsidRDefault="00D40495" w:rsidP="00A53FC9">
      <w:pPr>
        <w:ind w:left="-709" w:right="1"/>
        <w:jc w:val="both"/>
        <w:rPr>
          <w:rFonts w:ascii="Sto TT" w:eastAsia="Verdana" w:hAnsi="Sto TT" w:cs="Arial"/>
          <w:b/>
          <w:bCs/>
          <w:sz w:val="18"/>
          <w:szCs w:val="18"/>
          <w:u w:val="single"/>
        </w:rPr>
      </w:pPr>
      <w:r w:rsidRPr="00D7468F">
        <w:rPr>
          <w:rFonts w:ascii="Sto TT" w:eastAsia="Verdana" w:hAnsi="Sto TT" w:cs="Arial"/>
          <w:b/>
          <w:bCs/>
          <w:sz w:val="18"/>
          <w:szCs w:val="18"/>
          <w:u w:val="single"/>
        </w:rPr>
        <w:t>Traitement en appui de baie</w:t>
      </w:r>
    </w:p>
    <w:p w14:paraId="26334B3B" w14:textId="3A236AE3" w:rsidR="00EE7C81" w:rsidRPr="00D7468F" w:rsidRDefault="00EE7C81" w:rsidP="00A53FC9">
      <w:pPr>
        <w:ind w:left="-709" w:right="1"/>
        <w:jc w:val="both"/>
        <w:rPr>
          <w:rFonts w:ascii="Sto TT" w:eastAsia="Verdana" w:hAnsi="Sto TT" w:cs="Arial"/>
          <w:sz w:val="18"/>
          <w:szCs w:val="18"/>
        </w:rPr>
      </w:pPr>
      <w:r w:rsidRPr="00D7468F">
        <w:rPr>
          <w:rFonts w:ascii="Sto TT" w:eastAsia="Verdana" w:hAnsi="Sto TT" w:cs="Arial"/>
          <w:sz w:val="18"/>
          <w:szCs w:val="18"/>
        </w:rPr>
        <w:t>Lorsque le dormant de la menuiserie ne constitue pas l’appui ou en l’absence de précadre intégrant un appui, une bavette conforme au NF DTU 36.5 P1-1 et aux dispositions du CSTB 3709 est mise en œuvre. Le traitement de l’ETICS sous la pièce de protection s’effectue selon l’une des deux méthodes suivantes : Recouvrement de la tranche supérieure de l’isolant par enduit de base armé (CSTB 3729 et 3709)</w:t>
      </w:r>
    </w:p>
    <w:p w14:paraId="18D9DC45" w14:textId="77777777" w:rsidR="00EE7C81" w:rsidRPr="00D7468F" w:rsidRDefault="00EE7C81" w:rsidP="00A53FC9">
      <w:pPr>
        <w:pStyle w:val="Paragraphedeliste"/>
        <w:numPr>
          <w:ilvl w:val="0"/>
          <w:numId w:val="34"/>
        </w:numPr>
        <w:ind w:right="1"/>
        <w:contextualSpacing w:val="0"/>
        <w:jc w:val="both"/>
        <w:rPr>
          <w:rFonts w:ascii="Sto TT" w:eastAsia="Verdana" w:hAnsi="Sto TT" w:cs="Arial"/>
          <w:b/>
          <w:bCs/>
          <w:sz w:val="18"/>
          <w:szCs w:val="18"/>
        </w:rPr>
      </w:pPr>
      <w:r w:rsidRPr="00D7468F">
        <w:rPr>
          <w:rFonts w:ascii="Sto TT" w:eastAsia="Verdana" w:hAnsi="Sto TT" w:cs="Arial"/>
          <w:sz w:val="18"/>
          <w:szCs w:val="18"/>
        </w:rPr>
        <w:t xml:space="preserve">Mise en œuvre du complexe </w:t>
      </w:r>
      <w:r w:rsidRPr="00D7468F">
        <w:rPr>
          <w:rFonts w:ascii="Sto TT" w:eastAsia="Verdana" w:hAnsi="Sto TT" w:cs="Arial"/>
          <w:b/>
          <w:bCs/>
          <w:sz w:val="18"/>
          <w:szCs w:val="18"/>
        </w:rPr>
        <w:t>StoFentra Guard</w:t>
      </w:r>
      <w:r w:rsidRPr="00D7468F">
        <w:rPr>
          <w:rFonts w:ascii="Sto TT" w:eastAsia="Verdana" w:hAnsi="Sto TT" w:cs="Arial"/>
          <w:sz w:val="18"/>
          <w:szCs w:val="18"/>
        </w:rPr>
        <w:t xml:space="preserve"> + </w:t>
      </w:r>
      <w:r w:rsidRPr="00D7468F">
        <w:rPr>
          <w:rFonts w:ascii="Sto TT" w:eastAsia="Verdana" w:hAnsi="Sto TT" w:cs="Arial"/>
          <w:b/>
          <w:bCs/>
          <w:sz w:val="18"/>
          <w:szCs w:val="18"/>
        </w:rPr>
        <w:t>StoSeal Band Elast</w:t>
      </w:r>
    </w:p>
    <w:p w14:paraId="78E401A1" w14:textId="77777777" w:rsidR="00EE7C81" w:rsidRPr="00D7468F" w:rsidRDefault="00EE7C81" w:rsidP="00A53FC9">
      <w:pPr>
        <w:pStyle w:val="Paragraphedeliste"/>
        <w:numPr>
          <w:ilvl w:val="0"/>
          <w:numId w:val="34"/>
        </w:numPr>
        <w:ind w:right="1"/>
        <w:contextualSpacing w:val="0"/>
        <w:jc w:val="both"/>
        <w:rPr>
          <w:rFonts w:ascii="Sto TT" w:eastAsia="Verdana" w:hAnsi="Sto TT" w:cs="Arial"/>
          <w:sz w:val="18"/>
          <w:szCs w:val="18"/>
        </w:rPr>
      </w:pPr>
      <w:r w:rsidRPr="00D7468F">
        <w:rPr>
          <w:rFonts w:ascii="Sto TT" w:eastAsia="Verdana" w:hAnsi="Sto TT" w:cs="Arial"/>
          <w:sz w:val="18"/>
          <w:szCs w:val="18"/>
        </w:rPr>
        <w:t xml:space="preserve">Application de l’enduit d’imperméabilisation </w:t>
      </w:r>
      <w:r w:rsidRPr="00D7468F">
        <w:rPr>
          <w:rFonts w:ascii="Sto TT" w:eastAsia="Verdana" w:hAnsi="Sto TT" w:cs="Arial"/>
          <w:b/>
          <w:bCs/>
          <w:sz w:val="18"/>
          <w:szCs w:val="18"/>
        </w:rPr>
        <w:t>StoFlexyl</w:t>
      </w:r>
      <w:r w:rsidRPr="00D7468F">
        <w:rPr>
          <w:rFonts w:ascii="Sto TT" w:eastAsia="Verdana" w:hAnsi="Sto TT" w:cs="Arial"/>
          <w:sz w:val="18"/>
          <w:szCs w:val="18"/>
        </w:rPr>
        <w:t xml:space="preserve"> + </w:t>
      </w:r>
      <w:r w:rsidRPr="00D7468F">
        <w:rPr>
          <w:rFonts w:ascii="Sto TT" w:eastAsia="Verdana" w:hAnsi="Sto TT" w:cs="Arial"/>
          <w:b/>
          <w:bCs/>
          <w:sz w:val="18"/>
          <w:szCs w:val="18"/>
        </w:rPr>
        <w:t>StoFlexyl Cement</w:t>
      </w:r>
      <w:r w:rsidRPr="00D7468F">
        <w:rPr>
          <w:rFonts w:ascii="Sto TT" w:eastAsia="Verdana" w:hAnsi="Sto TT" w:cs="Arial"/>
          <w:sz w:val="18"/>
          <w:szCs w:val="18"/>
        </w:rPr>
        <w:t xml:space="preserve"> ou </w:t>
      </w:r>
      <w:r w:rsidRPr="00D7468F">
        <w:rPr>
          <w:rFonts w:ascii="Sto TT" w:eastAsia="Verdana" w:hAnsi="Sto TT" w:cs="Arial"/>
          <w:b/>
          <w:bCs/>
          <w:sz w:val="18"/>
          <w:szCs w:val="18"/>
        </w:rPr>
        <w:t>StoLevell SW plus</w:t>
      </w:r>
      <w:r w:rsidRPr="00D7468F">
        <w:rPr>
          <w:rFonts w:ascii="Sto TT" w:eastAsia="Verdana" w:hAnsi="Sto TT" w:cs="Arial"/>
          <w:sz w:val="18"/>
          <w:szCs w:val="18"/>
        </w:rPr>
        <w:t xml:space="preserve">, associé au profil </w:t>
      </w:r>
      <w:r w:rsidRPr="00D7468F">
        <w:rPr>
          <w:rFonts w:ascii="Sto TT" w:eastAsia="Verdana" w:hAnsi="Sto TT" w:cs="Arial"/>
          <w:b/>
          <w:bCs/>
          <w:sz w:val="18"/>
          <w:szCs w:val="18"/>
        </w:rPr>
        <w:t>Sto-Profil Drip F</w:t>
      </w:r>
      <w:r w:rsidRPr="00D7468F">
        <w:rPr>
          <w:rFonts w:ascii="Sto TT" w:eastAsia="Verdana" w:hAnsi="Sto TT" w:cs="Arial"/>
          <w:sz w:val="18"/>
          <w:szCs w:val="18"/>
        </w:rPr>
        <w:t>.</w:t>
      </w:r>
    </w:p>
    <w:p w14:paraId="5E1F7107" w14:textId="77777777" w:rsidR="00EE7C81" w:rsidRPr="00D7468F" w:rsidRDefault="00EE7C81" w:rsidP="00A53FC9">
      <w:pPr>
        <w:ind w:left="-709" w:right="1"/>
        <w:jc w:val="both"/>
        <w:rPr>
          <w:rFonts w:ascii="Sto TT" w:eastAsia="Verdana" w:hAnsi="Sto TT" w:cs="Arial"/>
          <w:sz w:val="18"/>
          <w:szCs w:val="18"/>
        </w:rPr>
      </w:pPr>
      <w:r w:rsidRPr="00D7468F">
        <w:rPr>
          <w:rFonts w:ascii="Sto TT" w:eastAsia="Verdana" w:hAnsi="Sto TT" w:cs="Arial"/>
          <w:sz w:val="18"/>
          <w:szCs w:val="18"/>
        </w:rPr>
        <w:t xml:space="preserve">Les deux dernières solutions offrent une protection renforcée contre les intempéries. Dans tous les cas, l’isolant en appui doit présenter une pente minimale de 3 %, réalisée soit par découpe sur site, soit par panneau prédécoupé. La bavette est fixée mécaniquement avec application de mastic </w:t>
      </w:r>
      <w:r w:rsidRPr="00D7468F">
        <w:rPr>
          <w:rFonts w:ascii="Sto TT" w:eastAsia="Verdana" w:hAnsi="Sto TT" w:cs="Arial"/>
          <w:b/>
          <w:bCs/>
          <w:sz w:val="18"/>
          <w:szCs w:val="18"/>
        </w:rPr>
        <w:t>StoColl Fix</w:t>
      </w:r>
      <w:r w:rsidRPr="00D7468F">
        <w:rPr>
          <w:rFonts w:ascii="Sto TT" w:eastAsia="Verdana" w:hAnsi="Sto TT" w:cs="Arial"/>
          <w:sz w:val="18"/>
          <w:szCs w:val="18"/>
        </w:rPr>
        <w:t xml:space="preserve"> en cordons parallèles à l’écoulement de l’eau, assurant adhérence et étanchéité. Le traitement en façade est poursuivi conformément aux cahiers CSTB 3709 et 3035.</w:t>
      </w:r>
    </w:p>
    <w:p w14:paraId="74655C1E" w14:textId="773FF6FA" w:rsidR="0001434D" w:rsidRPr="00D7468F" w:rsidRDefault="0001434D" w:rsidP="00A53FC9">
      <w:pPr>
        <w:ind w:left="-709" w:right="1"/>
        <w:jc w:val="both"/>
        <w:rPr>
          <w:rFonts w:ascii="Sto TT" w:eastAsia="Verdana" w:hAnsi="Sto TT" w:cs="Arial"/>
          <w:b/>
          <w:bCs/>
          <w:sz w:val="18"/>
          <w:szCs w:val="18"/>
          <w:u w:val="single"/>
        </w:rPr>
      </w:pPr>
    </w:p>
    <w:p w14:paraId="78FD4333" w14:textId="29EED0A7" w:rsidR="00194E21" w:rsidRPr="00D7468F" w:rsidRDefault="00194E21" w:rsidP="00A53FC9">
      <w:pPr>
        <w:ind w:left="-709" w:right="1"/>
        <w:jc w:val="both"/>
        <w:rPr>
          <w:rFonts w:ascii="Sto TT" w:eastAsia="Verdana" w:hAnsi="Sto TT" w:cs="Arial"/>
          <w:b/>
          <w:bCs/>
          <w:sz w:val="18"/>
          <w:szCs w:val="18"/>
          <w:u w:val="single"/>
        </w:rPr>
      </w:pPr>
      <w:r w:rsidRPr="00D7468F">
        <w:rPr>
          <w:rFonts w:ascii="Sto TT" w:eastAsia="Verdana" w:hAnsi="Sto TT" w:cs="Arial"/>
          <w:b/>
          <w:bCs/>
          <w:sz w:val="18"/>
          <w:szCs w:val="18"/>
          <w:u w:val="single"/>
        </w:rPr>
        <w:t>Protection des éléments horizontaux</w:t>
      </w:r>
    </w:p>
    <w:p w14:paraId="2708027A" w14:textId="77777777" w:rsidR="00194E21" w:rsidRPr="00D7468F" w:rsidRDefault="00194E21" w:rsidP="00A53FC9">
      <w:pPr>
        <w:ind w:left="-709" w:right="1"/>
        <w:jc w:val="both"/>
        <w:rPr>
          <w:rFonts w:ascii="Sto TT" w:eastAsia="Verdana" w:hAnsi="Sto TT" w:cs="Arial"/>
          <w:sz w:val="18"/>
          <w:szCs w:val="18"/>
        </w:rPr>
      </w:pPr>
      <w:r w:rsidRPr="00D7468F">
        <w:rPr>
          <w:rFonts w:ascii="Sto TT" w:eastAsia="Verdana" w:hAnsi="Sto TT" w:cs="Arial"/>
          <w:sz w:val="18"/>
          <w:szCs w:val="18"/>
        </w:rPr>
        <w:t>Il convient de prévoir, dans le cadre du lot zinguerie, la mise en œuvre d’une protection adaptée des éléments horizontaux exposés (garde-corps, appuis, acrotères, etc.), par exemple sous forme de couvertines.</w:t>
      </w:r>
    </w:p>
    <w:p w14:paraId="5D12234C" w14:textId="77777777" w:rsidR="00477D98" w:rsidRPr="00D7468F" w:rsidRDefault="00477D98" w:rsidP="00477D98">
      <w:pPr>
        <w:ind w:left="-709"/>
        <w:rPr>
          <w:rFonts w:ascii="Sto TT" w:eastAsia="Verdana" w:hAnsi="Sto TT" w:cs="Arial"/>
          <w:sz w:val="18"/>
          <w:szCs w:val="18"/>
        </w:rPr>
      </w:pPr>
    </w:p>
    <w:tbl>
      <w:tblPr>
        <w:tblStyle w:val="Grilledutableau"/>
        <w:tblW w:w="0" w:type="auto"/>
        <w:tblInd w:w="-782" w:type="dxa"/>
        <w:tblLook w:val="04A0" w:firstRow="1" w:lastRow="0" w:firstColumn="1" w:lastColumn="0" w:noHBand="0" w:noVBand="1"/>
      </w:tblPr>
      <w:tblGrid>
        <w:gridCol w:w="10409"/>
      </w:tblGrid>
      <w:tr w:rsidR="00477D98" w:rsidRPr="00D7468F" w14:paraId="24DF0255" w14:textId="77777777" w:rsidTr="00C043E0">
        <w:trPr>
          <w:trHeight w:val="248"/>
        </w:trPr>
        <w:tc>
          <w:tcPr>
            <w:tcW w:w="10409" w:type="dxa"/>
          </w:tcPr>
          <w:p w14:paraId="22620177" w14:textId="70B19B73" w:rsidR="00477D98" w:rsidRPr="00D7468F" w:rsidRDefault="00477D98" w:rsidP="00C043E0">
            <w:pPr>
              <w:jc w:val="center"/>
              <w:rPr>
                <w:rFonts w:ascii="Sto TT" w:eastAsia="Verdana" w:hAnsi="Sto TT" w:cs="Arial"/>
                <w:b/>
                <w:bCs/>
                <w:color w:val="2E74B5" w:themeColor="accent5" w:themeShade="BF"/>
                <w:sz w:val="22"/>
                <w:szCs w:val="22"/>
              </w:rPr>
            </w:pPr>
            <w:r w:rsidRPr="00D7468F">
              <w:rPr>
                <w:rFonts w:ascii="Sto TT" w:eastAsia="Verdana" w:hAnsi="Sto TT" w:cs="Arial"/>
                <w:b/>
                <w:bCs/>
                <w:color w:val="2E74B5" w:themeColor="accent5" w:themeShade="BF"/>
                <w:sz w:val="22"/>
                <w:szCs w:val="22"/>
              </w:rPr>
              <w:t>Primaires</w:t>
            </w:r>
          </w:p>
        </w:tc>
      </w:tr>
    </w:tbl>
    <w:p w14:paraId="1A693107" w14:textId="77777777" w:rsidR="00477D98" w:rsidRPr="00D7468F" w:rsidRDefault="00477D98" w:rsidP="00477D98">
      <w:pPr>
        <w:ind w:left="-709"/>
        <w:jc w:val="center"/>
        <w:rPr>
          <w:rFonts w:ascii="Sto TT" w:eastAsia="Verdana" w:hAnsi="Sto TT" w:cs="Arial"/>
          <w:b/>
          <w:bCs/>
          <w:sz w:val="18"/>
          <w:szCs w:val="18"/>
          <w:u w:val="single"/>
        </w:rPr>
      </w:pPr>
    </w:p>
    <w:p w14:paraId="508A8B38" w14:textId="77777777" w:rsidR="00477D98"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Pour une finition organique</w:t>
      </w:r>
    </w:p>
    <w:p w14:paraId="6E0BCD97" w14:textId="77777777" w:rsidR="00477D98" w:rsidRPr="00D7468F" w:rsidRDefault="00477D98" w:rsidP="00A53FC9">
      <w:pPr>
        <w:ind w:left="-709"/>
        <w:jc w:val="both"/>
        <w:rPr>
          <w:rFonts w:ascii="Sto TT" w:eastAsia="Verdana" w:hAnsi="Sto TT" w:cs="Arial"/>
          <w:sz w:val="18"/>
          <w:szCs w:val="18"/>
        </w:rPr>
      </w:pPr>
      <w:r w:rsidRPr="00D7468F">
        <w:rPr>
          <w:rFonts w:ascii="Sto TT" w:eastAsia="Verdana" w:hAnsi="Sto TT" w:cs="Arial"/>
          <w:b/>
          <w:bCs/>
          <w:sz w:val="18"/>
          <w:szCs w:val="18"/>
          <w:u w:val="single"/>
        </w:rPr>
        <w:t>Sto-Prim</w:t>
      </w:r>
    </w:p>
    <w:p w14:paraId="55DB096C" w14:textId="1AABC05B" w:rsidR="00477D98"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Application d'une couche de fond pigmentée et chargée, à base de résine acrylique en phase aqueuse</w:t>
      </w:r>
      <w:r w:rsidR="00AC524B" w:rsidRPr="00D7468F">
        <w:rPr>
          <w:rFonts w:ascii="Sto TT" w:eastAsia="Verdana" w:hAnsi="Sto TT" w:cs="Arial"/>
          <w:sz w:val="18"/>
          <w:szCs w:val="18"/>
        </w:rPr>
        <w:t xml:space="preserve"> à prise rapide</w:t>
      </w:r>
      <w:r w:rsidRPr="00D7468F">
        <w:rPr>
          <w:rFonts w:ascii="Sto TT" w:eastAsia="Verdana" w:hAnsi="Sto TT" w:cs="Arial"/>
          <w:sz w:val="18"/>
          <w:szCs w:val="18"/>
        </w:rPr>
        <w:t xml:space="preserve">, </w:t>
      </w:r>
      <w:r w:rsidRPr="00D7468F">
        <w:rPr>
          <w:rFonts w:ascii="Sto TT" w:eastAsia="Verdana" w:hAnsi="Sto TT" w:cs="Arial"/>
          <w:b/>
          <w:bCs/>
          <w:sz w:val="18"/>
          <w:szCs w:val="18"/>
        </w:rPr>
        <w:t>Sto-Prim</w:t>
      </w:r>
      <w:r w:rsidRPr="00D7468F">
        <w:rPr>
          <w:rFonts w:ascii="Sto TT" w:eastAsia="Verdana" w:hAnsi="Sto TT" w:cs="Arial"/>
          <w:sz w:val="18"/>
          <w:szCs w:val="18"/>
        </w:rPr>
        <w:t xml:space="preserve">, pour réguler les fonds et améliorer l'accrochage de l'enduit de finition. </w:t>
      </w:r>
    </w:p>
    <w:p w14:paraId="4F055FE8" w14:textId="77777777" w:rsidR="00477D98"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Dilution : peut-être dilué jusqu'à 10% d'eau. </w:t>
      </w:r>
    </w:p>
    <w:p w14:paraId="1C3D21CC" w14:textId="77777777" w:rsidR="00477D98"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Consommation : environ 0,2 kg / m².</w:t>
      </w:r>
    </w:p>
    <w:p w14:paraId="704652C4" w14:textId="77777777" w:rsidR="00477D98" w:rsidRPr="00D7468F" w:rsidRDefault="00477D98" w:rsidP="00A53FC9">
      <w:pPr>
        <w:ind w:left="-709"/>
        <w:jc w:val="both"/>
        <w:rPr>
          <w:rFonts w:ascii="Sto TT" w:eastAsia="Verdana" w:hAnsi="Sto TT" w:cs="Arial"/>
          <w:sz w:val="18"/>
          <w:szCs w:val="18"/>
        </w:rPr>
      </w:pPr>
      <w:r w:rsidRPr="00D7468F">
        <w:rPr>
          <w:rFonts w:ascii="Sto TT" w:eastAsia="Verdana" w:hAnsi="Sto TT" w:cs="Arial"/>
          <w:i/>
          <w:iCs/>
          <w:sz w:val="18"/>
          <w:szCs w:val="18"/>
          <w:u w:val="single"/>
        </w:rPr>
        <w:t>Remarque</w:t>
      </w:r>
      <w:r w:rsidRPr="00D7468F">
        <w:rPr>
          <w:rFonts w:ascii="Sto TT" w:eastAsia="Verdana" w:hAnsi="Sto TT" w:cs="Arial"/>
          <w:sz w:val="18"/>
          <w:szCs w:val="18"/>
        </w:rPr>
        <w:t xml:space="preserve"> : la teinte de </w:t>
      </w:r>
      <w:r w:rsidRPr="00D7468F">
        <w:rPr>
          <w:rFonts w:ascii="Sto TT" w:eastAsia="Verdana" w:hAnsi="Sto TT" w:cs="Arial"/>
          <w:b/>
          <w:bCs/>
          <w:sz w:val="18"/>
          <w:szCs w:val="18"/>
        </w:rPr>
        <w:t>Sto-Prim</w:t>
      </w:r>
      <w:r w:rsidRPr="00D7468F">
        <w:rPr>
          <w:rFonts w:ascii="Sto TT" w:eastAsia="Verdana" w:hAnsi="Sto TT" w:cs="Arial"/>
          <w:sz w:val="18"/>
          <w:szCs w:val="18"/>
        </w:rPr>
        <w:t xml:space="preserve"> devra être choisie en fonction de la teinte de l'enduit final.</w:t>
      </w:r>
    </w:p>
    <w:p w14:paraId="10740BE3" w14:textId="77777777" w:rsidR="002516BD" w:rsidRPr="00D7468F" w:rsidRDefault="002516BD" w:rsidP="00A53FC9">
      <w:pPr>
        <w:ind w:left="-709"/>
        <w:jc w:val="both"/>
        <w:rPr>
          <w:rFonts w:ascii="Sto TT" w:eastAsia="Verdana" w:hAnsi="Sto TT" w:cs="Arial"/>
          <w:sz w:val="18"/>
          <w:szCs w:val="18"/>
        </w:rPr>
      </w:pPr>
    </w:p>
    <w:p w14:paraId="10AC61C7" w14:textId="77777777" w:rsidR="00163FE9" w:rsidRDefault="00163FE9">
      <w:pPr>
        <w:spacing w:after="160" w:line="278" w:lineRule="auto"/>
        <w:rPr>
          <w:rFonts w:ascii="Sto TT" w:eastAsia="Verdana" w:hAnsi="Sto TT" w:cs="Arial"/>
          <w:sz w:val="18"/>
          <w:szCs w:val="18"/>
        </w:rPr>
      </w:pPr>
      <w:r>
        <w:rPr>
          <w:rFonts w:ascii="Sto TT" w:eastAsia="Verdana" w:hAnsi="Sto TT" w:cs="Arial"/>
          <w:sz w:val="18"/>
          <w:szCs w:val="18"/>
        </w:rPr>
        <w:br w:type="page"/>
      </w:r>
    </w:p>
    <w:p w14:paraId="037AEB2F" w14:textId="0EA2A54E" w:rsidR="00477D98"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lastRenderedPageBreak/>
        <w:t>Pour une finition minérale</w:t>
      </w:r>
    </w:p>
    <w:p w14:paraId="1D9D2412" w14:textId="77777777" w:rsidR="00477D98" w:rsidRPr="00D7468F" w:rsidRDefault="00477D98" w:rsidP="00A53FC9">
      <w:pPr>
        <w:ind w:left="-709"/>
        <w:jc w:val="both"/>
        <w:rPr>
          <w:rFonts w:ascii="Sto TT" w:eastAsia="Verdana" w:hAnsi="Sto TT" w:cs="Arial"/>
          <w:sz w:val="18"/>
          <w:szCs w:val="18"/>
        </w:rPr>
      </w:pPr>
      <w:r w:rsidRPr="00D7468F">
        <w:rPr>
          <w:rFonts w:ascii="Sto TT" w:eastAsia="Verdana" w:hAnsi="Sto TT" w:cs="Arial"/>
          <w:b/>
          <w:bCs/>
          <w:sz w:val="18"/>
          <w:szCs w:val="18"/>
          <w:u w:val="single"/>
        </w:rPr>
        <w:t>StoPrep Miral</w:t>
      </w:r>
    </w:p>
    <w:p w14:paraId="307D90A5" w14:textId="77777777" w:rsidR="00477D98"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Application d'une couche de fond pigmentée et chargée à base de silicate de potassium améliorée de liant acrylique, </w:t>
      </w:r>
      <w:r w:rsidRPr="00D7468F">
        <w:rPr>
          <w:rFonts w:ascii="Sto TT" w:eastAsia="Verdana" w:hAnsi="Sto TT" w:cs="Arial"/>
          <w:b/>
          <w:bCs/>
          <w:sz w:val="18"/>
          <w:szCs w:val="18"/>
        </w:rPr>
        <w:t>StoPrep Miral</w:t>
      </w:r>
      <w:r w:rsidRPr="00D7468F">
        <w:rPr>
          <w:rFonts w:ascii="Sto TT" w:eastAsia="Verdana" w:hAnsi="Sto TT" w:cs="Arial"/>
          <w:sz w:val="18"/>
          <w:szCs w:val="18"/>
        </w:rPr>
        <w:t xml:space="preserve">, pour améliorer l'accrochage des enduits minéraux. Très bon pouvoir couvrant et garnissant. </w:t>
      </w:r>
    </w:p>
    <w:p w14:paraId="5C22D611" w14:textId="77777777" w:rsidR="00477D98"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Dilution : jusqu'à 10% avec de l'eau. </w:t>
      </w:r>
    </w:p>
    <w:p w14:paraId="3F7B38FF" w14:textId="77777777" w:rsidR="00477D98"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Consommation : environ 0,3 kg / m².</w:t>
      </w:r>
    </w:p>
    <w:p w14:paraId="42841D82" w14:textId="77777777" w:rsidR="00B42BB8" w:rsidRPr="00D7468F" w:rsidRDefault="00B42BB8" w:rsidP="00A53FC9">
      <w:pPr>
        <w:ind w:left="-709"/>
        <w:jc w:val="both"/>
        <w:rPr>
          <w:rFonts w:ascii="Sto TT" w:eastAsia="Verdana" w:hAnsi="Sto TT" w:cs="Arial"/>
          <w:sz w:val="18"/>
          <w:szCs w:val="18"/>
        </w:rPr>
      </w:pPr>
    </w:p>
    <w:p w14:paraId="50A4E7B3" w14:textId="17A913DD" w:rsidR="00A53FC9" w:rsidRPr="00D7468F" w:rsidRDefault="00BF2D5A" w:rsidP="00A53FC9">
      <w:pPr>
        <w:ind w:left="-709"/>
        <w:jc w:val="both"/>
        <w:rPr>
          <w:rFonts w:ascii="Sto TT" w:eastAsia="Verdana" w:hAnsi="Sto TT" w:cs="Arial"/>
          <w:b/>
          <w:bCs/>
          <w:sz w:val="18"/>
          <w:szCs w:val="18"/>
          <w:u w:val="single"/>
        </w:rPr>
      </w:pPr>
      <w:r w:rsidRPr="00D7468F">
        <w:rPr>
          <w:rFonts w:ascii="Sto TT" w:eastAsia="Verdana" w:hAnsi="Sto TT" w:cs="Arial"/>
          <w:b/>
          <w:bCs/>
          <w:sz w:val="18"/>
          <w:szCs w:val="18"/>
          <w:u w:val="single"/>
        </w:rPr>
        <w:t>StoPrep Isol Q</w:t>
      </w:r>
    </w:p>
    <w:p w14:paraId="07521FED" w14:textId="77777777" w:rsidR="00A53FC9" w:rsidRPr="00D7468F" w:rsidRDefault="00BF2D5A"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Application d'une couche de primaire blanc, chargé en silice pour une meilleure accroche, en phase aqueuse, à fort pouvoir couvrant et d'adhérence : </w:t>
      </w:r>
      <w:r w:rsidRPr="00D7468F">
        <w:rPr>
          <w:rFonts w:ascii="Sto TT" w:eastAsia="Verdana" w:hAnsi="Sto TT" w:cs="Arial"/>
          <w:b/>
          <w:bCs/>
          <w:sz w:val="18"/>
          <w:szCs w:val="18"/>
        </w:rPr>
        <w:t>StoPrep Isol Q</w:t>
      </w:r>
      <w:r w:rsidRPr="00D7468F">
        <w:rPr>
          <w:rFonts w:ascii="Sto TT" w:eastAsia="Verdana" w:hAnsi="Sto TT" w:cs="Arial"/>
          <w:sz w:val="18"/>
          <w:szCs w:val="18"/>
        </w:rPr>
        <w:t>.</w:t>
      </w:r>
    </w:p>
    <w:p w14:paraId="2C43A65E" w14:textId="77777777" w:rsidR="00B42BB8" w:rsidRDefault="00BF2D5A" w:rsidP="00A53FC9">
      <w:pPr>
        <w:ind w:left="-709"/>
        <w:jc w:val="both"/>
        <w:rPr>
          <w:rFonts w:ascii="Sto TT" w:eastAsia="Verdana" w:hAnsi="Sto TT" w:cs="Arial"/>
          <w:sz w:val="18"/>
          <w:szCs w:val="18"/>
        </w:rPr>
      </w:pPr>
      <w:r w:rsidRPr="00D7468F">
        <w:rPr>
          <w:rFonts w:ascii="Sto TT" w:eastAsia="Verdana" w:hAnsi="Sto TT" w:cs="Arial"/>
          <w:sz w:val="18"/>
          <w:szCs w:val="18"/>
        </w:rPr>
        <w:t>Exempt de solvants, </w:t>
      </w:r>
      <w:r w:rsidRPr="00D7468F">
        <w:rPr>
          <w:rFonts w:ascii="Sto TT" w:eastAsia="Verdana" w:hAnsi="Sto TT" w:cs="Arial"/>
          <w:b/>
          <w:bCs/>
          <w:sz w:val="18"/>
          <w:szCs w:val="18"/>
        </w:rPr>
        <w:t>StoPrep Isol Q</w:t>
      </w:r>
      <w:r w:rsidRPr="00D7468F">
        <w:rPr>
          <w:rFonts w:ascii="Sto TT" w:eastAsia="Verdana" w:hAnsi="Sto TT" w:cs="Arial"/>
          <w:sz w:val="18"/>
          <w:szCs w:val="18"/>
        </w:rPr>
        <w:t xml:space="preserve"> bloque les fonds contre les remontées de taches de nicotine, suie, taches d'eau, lignine etc. Ce produit est également adapté pour couvrir d’éventuelles traces brunes de la </w:t>
      </w:r>
      <w:r w:rsidR="00EC760F" w:rsidRPr="00D7468F">
        <w:rPr>
          <w:rFonts w:ascii="Sto TT" w:eastAsia="Verdana" w:hAnsi="Sto TT" w:cs="Arial"/>
          <w:sz w:val="18"/>
          <w:szCs w:val="18"/>
        </w:rPr>
        <w:t xml:space="preserve">fibre de bois </w:t>
      </w:r>
      <w:r w:rsidRPr="00D7468F">
        <w:rPr>
          <w:rFonts w:ascii="Sto TT" w:eastAsia="Verdana" w:hAnsi="Sto TT" w:cs="Arial"/>
          <w:sz w:val="18"/>
          <w:szCs w:val="18"/>
        </w:rPr>
        <w:t>. Dilution : le produit est appliqué pur.</w:t>
      </w:r>
    </w:p>
    <w:p w14:paraId="333DA4B6" w14:textId="3A522ACE" w:rsidR="00BF2D5A" w:rsidRPr="00D7468F" w:rsidRDefault="00BF2D5A" w:rsidP="00A53FC9">
      <w:pPr>
        <w:ind w:left="-709"/>
        <w:jc w:val="both"/>
        <w:rPr>
          <w:rFonts w:ascii="Sto TT" w:eastAsia="Verdana" w:hAnsi="Sto TT" w:cs="Arial"/>
          <w:sz w:val="18"/>
          <w:szCs w:val="18"/>
        </w:rPr>
      </w:pPr>
      <w:r w:rsidRPr="00D7468F">
        <w:rPr>
          <w:rFonts w:ascii="Sto TT" w:eastAsia="Verdana" w:hAnsi="Sto TT" w:cs="Arial"/>
          <w:sz w:val="18"/>
          <w:szCs w:val="18"/>
        </w:rPr>
        <w:t>Consommation : 0,35 kg/m² sur support minéral, 0,50kg/m2 en projection, et 0,5 à 0,6kg/m2 en 2 couches sur support lisse.</w:t>
      </w:r>
    </w:p>
    <w:p w14:paraId="2C64BDE6" w14:textId="77777777" w:rsidR="00702CE2" w:rsidRPr="00D7468F" w:rsidRDefault="00702CE2" w:rsidP="00966027">
      <w:pPr>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59"/>
      </w:tblGrid>
      <w:tr w:rsidR="00477D98" w:rsidRPr="00D7468F" w14:paraId="742F4816" w14:textId="77777777" w:rsidTr="00C043E0">
        <w:trPr>
          <w:trHeight w:val="248"/>
        </w:trPr>
        <w:tc>
          <w:tcPr>
            <w:tcW w:w="10359" w:type="dxa"/>
          </w:tcPr>
          <w:p w14:paraId="2DA6D467" w14:textId="185D1892" w:rsidR="00477D98" w:rsidRPr="00D7468F" w:rsidRDefault="00477D98" w:rsidP="00C043E0">
            <w:pPr>
              <w:jc w:val="center"/>
              <w:rPr>
                <w:rFonts w:ascii="Sto TT" w:eastAsia="Verdana" w:hAnsi="Sto TT" w:cs="Arial"/>
                <w:b/>
                <w:bCs/>
                <w:color w:val="2E74B5" w:themeColor="accent5" w:themeShade="BF"/>
                <w:sz w:val="22"/>
                <w:szCs w:val="22"/>
              </w:rPr>
            </w:pPr>
            <w:r w:rsidRPr="00D7468F">
              <w:rPr>
                <w:rFonts w:ascii="Sto TT" w:eastAsia="Verdana" w:hAnsi="Sto TT" w:cs="Arial"/>
                <w:b/>
                <w:bCs/>
                <w:color w:val="2E74B5" w:themeColor="accent5" w:themeShade="BF"/>
                <w:sz w:val="22"/>
                <w:szCs w:val="22"/>
              </w:rPr>
              <w:t>Finitions</w:t>
            </w:r>
          </w:p>
        </w:tc>
      </w:tr>
    </w:tbl>
    <w:p w14:paraId="54ED5792" w14:textId="77777777" w:rsidR="00477D98" w:rsidRPr="00D7468F" w:rsidRDefault="00477D98" w:rsidP="00477D98">
      <w:pPr>
        <w:ind w:left="-709"/>
        <w:rPr>
          <w:rFonts w:ascii="Sto TT" w:eastAsia="Verdana" w:hAnsi="Sto TT" w:cs="Arial"/>
          <w:sz w:val="18"/>
          <w:szCs w:val="18"/>
          <w:u w:val="single"/>
        </w:rPr>
      </w:pPr>
    </w:p>
    <w:p w14:paraId="30456551" w14:textId="77777777" w:rsidR="00477D98" w:rsidRPr="00D7468F" w:rsidRDefault="00477D98" w:rsidP="00A53FC9">
      <w:pPr>
        <w:ind w:left="-709"/>
        <w:jc w:val="both"/>
        <w:rPr>
          <w:rFonts w:ascii="Sto TT" w:eastAsia="Verdana" w:hAnsi="Sto TT" w:cs="Arial"/>
          <w:sz w:val="18"/>
          <w:szCs w:val="18"/>
          <w:u w:val="single"/>
        </w:rPr>
      </w:pPr>
      <w:r w:rsidRPr="00D7468F">
        <w:rPr>
          <w:rFonts w:ascii="Sto TT" w:eastAsia="Verdana" w:hAnsi="Sto TT" w:cs="Arial"/>
          <w:sz w:val="18"/>
          <w:szCs w:val="18"/>
          <w:u w:val="single"/>
        </w:rPr>
        <w:t>Finition organique :</w:t>
      </w:r>
    </w:p>
    <w:p w14:paraId="0CFF73C5" w14:textId="77777777" w:rsidR="00D54D8A" w:rsidRPr="00D7468F" w:rsidRDefault="00D54D8A" w:rsidP="00A53FC9">
      <w:pPr>
        <w:pStyle w:val="Paragraphedeliste"/>
        <w:numPr>
          <w:ilvl w:val="0"/>
          <w:numId w:val="31"/>
        </w:numPr>
        <w:contextualSpacing w:val="0"/>
        <w:jc w:val="both"/>
        <w:rPr>
          <w:rFonts w:ascii="Sto TT" w:hAnsi="Sto TT" w:cs="Arial"/>
          <w:color w:val="000000"/>
          <w:sz w:val="18"/>
          <w:szCs w:val="18"/>
        </w:rPr>
      </w:pPr>
      <w:r w:rsidRPr="00D7468F">
        <w:rPr>
          <w:rFonts w:ascii="Sto TT" w:hAnsi="Sto TT" w:cs="Arial"/>
          <w:b/>
          <w:bCs/>
          <w:color w:val="000000"/>
          <w:sz w:val="18"/>
          <w:szCs w:val="18"/>
        </w:rPr>
        <w:t xml:space="preserve">Ispolit </w:t>
      </w:r>
      <w:r w:rsidRPr="00D7468F">
        <w:rPr>
          <w:rFonts w:ascii="Sto TT" w:hAnsi="Sto TT" w:cs="Arial"/>
          <w:color w:val="000000"/>
          <w:sz w:val="18"/>
          <w:szCs w:val="18"/>
        </w:rPr>
        <w:t>– Acrylique – Résistant aux intempéries, très perméable à la vapeur d’eau</w:t>
      </w:r>
    </w:p>
    <w:p w14:paraId="6D4D6F30" w14:textId="4BC905AD" w:rsidR="00A91B98" w:rsidRPr="00D7468F" w:rsidRDefault="00A91B98" w:rsidP="00A53FC9">
      <w:pPr>
        <w:pStyle w:val="Paragraphedeliste"/>
        <w:numPr>
          <w:ilvl w:val="0"/>
          <w:numId w:val="31"/>
        </w:numPr>
        <w:contextualSpacing w:val="0"/>
        <w:jc w:val="both"/>
        <w:rPr>
          <w:rFonts w:ascii="Sto TT" w:eastAsia="Verdana" w:hAnsi="Sto TT" w:cs="Arial"/>
          <w:sz w:val="18"/>
          <w:szCs w:val="18"/>
          <w:u w:val="single"/>
        </w:rPr>
      </w:pPr>
      <w:r w:rsidRPr="00D7468F">
        <w:rPr>
          <w:rFonts w:ascii="Sto TT" w:hAnsi="Sto TT" w:cs="Arial"/>
          <w:b/>
          <w:bCs/>
          <w:color w:val="000000"/>
          <w:sz w:val="18"/>
          <w:szCs w:val="18"/>
        </w:rPr>
        <w:t>Silkolit</w:t>
      </w:r>
      <w:r w:rsidRPr="00D7468F">
        <w:rPr>
          <w:rFonts w:ascii="Sto TT" w:hAnsi="Sto TT" w:cs="Arial"/>
          <w:color w:val="000000"/>
          <w:sz w:val="18"/>
          <w:szCs w:val="18"/>
        </w:rPr>
        <w:t xml:space="preserve"> – Acrylique renforcé en siloxane – Résistant aux intempéries, très perméable à la vapeur d’eau</w:t>
      </w:r>
    </w:p>
    <w:p w14:paraId="3F08F986" w14:textId="77777777" w:rsidR="00D54D8A" w:rsidRPr="00D7468F" w:rsidRDefault="00D54D8A" w:rsidP="00A53FC9">
      <w:pPr>
        <w:pStyle w:val="Paragraphedeliste"/>
        <w:numPr>
          <w:ilvl w:val="0"/>
          <w:numId w:val="31"/>
        </w:numPr>
        <w:contextualSpacing w:val="0"/>
        <w:jc w:val="both"/>
        <w:rPr>
          <w:rFonts w:ascii="Sto TT" w:eastAsia="Verdana" w:hAnsi="Sto TT" w:cs="Arial"/>
          <w:sz w:val="18"/>
          <w:szCs w:val="18"/>
          <w:u w:val="single"/>
        </w:rPr>
      </w:pPr>
      <w:r w:rsidRPr="00D7468F">
        <w:rPr>
          <w:rFonts w:ascii="Sto TT" w:hAnsi="Sto TT" w:cs="Arial"/>
          <w:b/>
          <w:bCs/>
          <w:color w:val="000000"/>
          <w:sz w:val="18"/>
          <w:szCs w:val="18"/>
        </w:rPr>
        <w:t>Stolit® K/R/MP -</w:t>
      </w:r>
      <w:r w:rsidRPr="00D7468F">
        <w:rPr>
          <w:rFonts w:ascii="Sto TT" w:hAnsi="Sto TT" w:cs="Arial"/>
          <w:color w:val="000000"/>
          <w:sz w:val="18"/>
          <w:szCs w:val="18"/>
        </w:rPr>
        <w:t xml:space="preserve"> Acrylique -</w:t>
      </w:r>
      <w:r w:rsidRPr="00D7468F">
        <w:rPr>
          <w:rFonts w:ascii="Sto TT" w:hAnsi="Sto TT" w:cs="Arial"/>
          <w:b/>
          <w:bCs/>
          <w:color w:val="000000"/>
          <w:sz w:val="18"/>
          <w:szCs w:val="18"/>
        </w:rPr>
        <w:t xml:space="preserve"> </w:t>
      </w:r>
      <w:r w:rsidRPr="00D7468F">
        <w:rPr>
          <w:rFonts w:ascii="Sto TT" w:hAnsi="Sto TT" w:cs="Arial"/>
          <w:color w:val="000000"/>
          <w:sz w:val="18"/>
          <w:szCs w:val="18"/>
        </w:rPr>
        <w:t>Très souple, bonne résistance aux chocs, perméable à la vapeur d'eau</w:t>
      </w:r>
    </w:p>
    <w:p w14:paraId="565962EB" w14:textId="77777777" w:rsidR="00D54D8A" w:rsidRPr="00D7468F" w:rsidRDefault="00D54D8A" w:rsidP="00A53FC9">
      <w:pPr>
        <w:pStyle w:val="Paragraphedeliste"/>
        <w:numPr>
          <w:ilvl w:val="0"/>
          <w:numId w:val="31"/>
        </w:numPr>
        <w:contextualSpacing w:val="0"/>
        <w:jc w:val="both"/>
        <w:rPr>
          <w:rFonts w:ascii="Sto TT" w:eastAsia="Verdana" w:hAnsi="Sto TT" w:cs="Arial"/>
          <w:sz w:val="18"/>
          <w:szCs w:val="18"/>
          <w:u w:val="single"/>
        </w:rPr>
      </w:pPr>
      <w:r w:rsidRPr="00D7468F">
        <w:rPr>
          <w:rFonts w:ascii="Sto TT" w:hAnsi="Sto TT" w:cs="Arial"/>
          <w:b/>
          <w:bCs/>
          <w:color w:val="000000"/>
          <w:sz w:val="18"/>
          <w:szCs w:val="18"/>
        </w:rPr>
        <w:t>StoSilco® K/R/MP –</w:t>
      </w:r>
      <w:r w:rsidRPr="00D7468F">
        <w:rPr>
          <w:rFonts w:ascii="Sto TT" w:hAnsi="Sto TT" w:cs="Arial"/>
          <w:color w:val="000000"/>
          <w:sz w:val="18"/>
          <w:szCs w:val="18"/>
        </w:rPr>
        <w:t xml:space="preserve"> Siloxane - Très bonne résistance aux intempéries, autonettoyant</w:t>
      </w:r>
    </w:p>
    <w:p w14:paraId="786B792B" w14:textId="77777777" w:rsidR="00477D98" w:rsidRPr="00D7468F" w:rsidRDefault="00477D98" w:rsidP="00A53FC9">
      <w:pPr>
        <w:ind w:left="-709"/>
        <w:jc w:val="both"/>
        <w:rPr>
          <w:rFonts w:ascii="Sto TT" w:eastAsia="Verdana" w:hAnsi="Sto TT" w:cs="Arial"/>
          <w:sz w:val="18"/>
          <w:szCs w:val="18"/>
          <w:u w:val="single"/>
        </w:rPr>
      </w:pPr>
    </w:p>
    <w:p w14:paraId="46F408DD" w14:textId="77777777" w:rsidR="00477D98" w:rsidRPr="00D7468F" w:rsidRDefault="00477D98" w:rsidP="00A53FC9">
      <w:pPr>
        <w:ind w:left="-709"/>
        <w:jc w:val="both"/>
        <w:rPr>
          <w:rFonts w:ascii="Sto TT" w:eastAsia="Verdana" w:hAnsi="Sto TT" w:cs="Arial"/>
          <w:sz w:val="18"/>
          <w:szCs w:val="18"/>
          <w:u w:val="single"/>
        </w:rPr>
      </w:pPr>
      <w:r w:rsidRPr="00D7468F">
        <w:rPr>
          <w:rFonts w:ascii="Sto TT" w:eastAsia="Verdana" w:hAnsi="Sto TT" w:cs="Arial"/>
          <w:sz w:val="18"/>
          <w:szCs w:val="18"/>
          <w:u w:val="single"/>
        </w:rPr>
        <w:t>Finition minérale :</w:t>
      </w:r>
    </w:p>
    <w:p w14:paraId="2530DC23" w14:textId="77777777" w:rsidR="00477D98" w:rsidRPr="00D7468F" w:rsidRDefault="00477D98" w:rsidP="00A53FC9">
      <w:pPr>
        <w:pStyle w:val="Paragraphedeliste"/>
        <w:numPr>
          <w:ilvl w:val="0"/>
          <w:numId w:val="16"/>
        </w:numPr>
        <w:contextualSpacing w:val="0"/>
        <w:jc w:val="both"/>
        <w:rPr>
          <w:rFonts w:ascii="Sto TT" w:eastAsia="Verdana" w:hAnsi="Sto TT" w:cs="Arial"/>
          <w:sz w:val="18"/>
          <w:szCs w:val="18"/>
          <w:u w:val="single"/>
        </w:rPr>
      </w:pPr>
      <w:r w:rsidRPr="00D7468F">
        <w:rPr>
          <w:rFonts w:ascii="Sto TT" w:hAnsi="Sto TT" w:cs="Arial"/>
          <w:b/>
          <w:bCs/>
          <w:color w:val="000000"/>
          <w:sz w:val="18"/>
          <w:szCs w:val="18"/>
        </w:rPr>
        <w:t>StoMiral</w:t>
      </w:r>
      <w:r w:rsidRPr="00D7468F">
        <w:rPr>
          <w:rFonts w:ascii="Sto TT" w:hAnsi="Sto TT" w:cs="Arial"/>
          <w:color w:val="000000"/>
          <w:sz w:val="18"/>
          <w:szCs w:val="18"/>
        </w:rPr>
        <w:t xml:space="preserve"> </w:t>
      </w:r>
      <w:r w:rsidRPr="00D7468F">
        <w:rPr>
          <w:rFonts w:ascii="Sto TT" w:hAnsi="Sto TT" w:cs="Arial"/>
          <w:b/>
          <w:bCs/>
          <w:color w:val="000000"/>
          <w:sz w:val="18"/>
          <w:szCs w:val="18"/>
        </w:rPr>
        <w:t xml:space="preserve">K/MP </w:t>
      </w:r>
      <w:r w:rsidRPr="00D7468F">
        <w:rPr>
          <w:rFonts w:ascii="Sto TT" w:hAnsi="Sto TT" w:cs="Arial"/>
          <w:color w:val="000000"/>
          <w:sz w:val="18"/>
          <w:szCs w:val="18"/>
        </w:rPr>
        <w:t>- Minéral hydraulique - Bonne résistance aux intempéries, esthétique patrimoniale (ABF) Chaux aérienne, Aspect mat, très respirant</w:t>
      </w:r>
    </w:p>
    <w:p w14:paraId="5E79DF03" w14:textId="77777777" w:rsidR="00477D98" w:rsidRPr="00D7468F" w:rsidRDefault="00477D98" w:rsidP="00A53FC9">
      <w:pPr>
        <w:jc w:val="both"/>
        <w:rPr>
          <w:rFonts w:ascii="Sto TT" w:eastAsia="Verdana" w:hAnsi="Sto TT" w:cs="Arial"/>
          <w:sz w:val="18"/>
          <w:szCs w:val="18"/>
          <w:u w:val="single"/>
        </w:rPr>
      </w:pPr>
    </w:p>
    <w:p w14:paraId="59B7FBAB" w14:textId="77777777" w:rsidR="007060BD" w:rsidRPr="00D7468F" w:rsidRDefault="007060BD" w:rsidP="00A53FC9">
      <w:pPr>
        <w:ind w:left="-349"/>
        <w:jc w:val="both"/>
        <w:rPr>
          <w:rFonts w:ascii="Sto TT" w:eastAsia="Verdana" w:hAnsi="Sto TT" w:cs="Arial"/>
          <w:b/>
          <w:bCs/>
          <w:sz w:val="18"/>
          <w:szCs w:val="18"/>
        </w:rPr>
      </w:pPr>
      <w:r w:rsidRPr="00D7468F">
        <w:rPr>
          <w:rFonts w:ascii="Sto TT" w:eastAsia="Verdana" w:hAnsi="Sto TT" w:cs="Arial"/>
          <w:b/>
          <w:bCs/>
          <w:sz w:val="18"/>
          <w:szCs w:val="18"/>
          <w:u w:val="single"/>
        </w:rPr>
        <w:t xml:space="preserve">Présence de végétation importante </w:t>
      </w:r>
    </w:p>
    <w:p w14:paraId="023EBCF8" w14:textId="6F9EAA30" w:rsidR="007060BD" w:rsidRPr="00D7468F" w:rsidRDefault="00A058B6" w:rsidP="00A53FC9">
      <w:pPr>
        <w:ind w:left="-349"/>
        <w:jc w:val="both"/>
        <w:rPr>
          <w:rFonts w:ascii="Sto TT" w:eastAsia="Verdana" w:hAnsi="Sto TT" w:cs="Arial"/>
          <w:b/>
          <w:bCs/>
          <w:sz w:val="18"/>
          <w:szCs w:val="18"/>
        </w:rPr>
      </w:pPr>
      <w:r w:rsidRPr="00D7468F">
        <w:rPr>
          <w:rFonts w:ascii="Sto TT" w:eastAsia="Verdana" w:hAnsi="Sto TT" w:cs="Arial"/>
          <w:sz w:val="18"/>
          <w:szCs w:val="18"/>
        </w:rPr>
        <w:t xml:space="preserve">En présence d’une végétation importante à proximité de la finition, ou pour une application dans une zone régulièrement humide nous conseillons l’application d’une couche de peinture additionnelle </w:t>
      </w:r>
      <w:r w:rsidR="007060BD" w:rsidRPr="00D7468F">
        <w:rPr>
          <w:rFonts w:ascii="Sto TT" w:eastAsia="Verdana" w:hAnsi="Sto TT" w:cs="Arial"/>
          <w:b/>
          <w:bCs/>
          <w:sz w:val="18"/>
          <w:szCs w:val="18"/>
        </w:rPr>
        <w:t>StoColor Lotusan</w:t>
      </w:r>
      <w:r w:rsidR="007060BD" w:rsidRPr="00D7468F">
        <w:rPr>
          <w:rFonts w:ascii="Sto TT" w:eastAsia="Verdana" w:hAnsi="Sto TT" w:cs="Arial"/>
          <w:sz w:val="18"/>
          <w:szCs w:val="18"/>
        </w:rPr>
        <w:t xml:space="preserve"> </w:t>
      </w:r>
      <w:r w:rsidR="00962890" w:rsidRPr="00D7468F">
        <w:rPr>
          <w:rFonts w:ascii="Sto TT" w:eastAsia="Verdana" w:hAnsi="Sto TT" w:cs="Arial"/>
          <w:sz w:val="18"/>
          <w:szCs w:val="18"/>
        </w:rPr>
        <w:t xml:space="preserve">ou </w:t>
      </w:r>
      <w:r w:rsidR="00962890" w:rsidRPr="00D7468F">
        <w:rPr>
          <w:rFonts w:ascii="Sto TT" w:eastAsia="Verdana" w:hAnsi="Sto TT" w:cs="Arial"/>
          <w:b/>
          <w:bCs/>
          <w:sz w:val="18"/>
          <w:szCs w:val="18"/>
        </w:rPr>
        <w:t>StoColor Solical</w:t>
      </w:r>
      <w:r w:rsidR="007060BD" w:rsidRPr="00D7468F">
        <w:rPr>
          <w:rFonts w:ascii="Sto TT" w:eastAsia="Verdana" w:hAnsi="Sto TT" w:cs="Arial"/>
          <w:sz w:val="18"/>
          <w:szCs w:val="18"/>
        </w:rPr>
        <w:t>, en plus d’un contrat d’entretien régulier.</w:t>
      </w:r>
    </w:p>
    <w:p w14:paraId="52E942E4" w14:textId="77777777" w:rsidR="007060BD" w:rsidRPr="00D7468F" w:rsidRDefault="007060BD" w:rsidP="00A53FC9">
      <w:pPr>
        <w:ind w:left="-709"/>
        <w:jc w:val="both"/>
        <w:rPr>
          <w:rFonts w:ascii="Sto TT" w:eastAsia="Verdana" w:hAnsi="Sto TT" w:cs="Arial"/>
          <w:sz w:val="18"/>
          <w:szCs w:val="18"/>
        </w:rPr>
      </w:pPr>
    </w:p>
    <w:p w14:paraId="3614F8F5" w14:textId="77777777" w:rsidR="007B3AE0" w:rsidRPr="00D7468F" w:rsidRDefault="007B3AE0" w:rsidP="00A53FC9">
      <w:pPr>
        <w:ind w:left="-709"/>
        <w:jc w:val="both"/>
        <w:rPr>
          <w:rFonts w:ascii="Sto TT" w:eastAsia="Verdana" w:hAnsi="Sto TT" w:cs="Arial"/>
          <w:sz w:val="18"/>
          <w:szCs w:val="18"/>
          <w:u w:val="single"/>
        </w:rPr>
      </w:pPr>
      <w:r w:rsidRPr="00D7468F">
        <w:rPr>
          <w:rFonts w:ascii="Sto TT" w:eastAsia="Verdana" w:hAnsi="Sto TT" w:cs="Arial"/>
          <w:sz w:val="18"/>
          <w:szCs w:val="18"/>
          <w:u w:val="single"/>
        </w:rPr>
        <w:t>Finitions par briquettes souples décoratives</w:t>
      </w:r>
    </w:p>
    <w:p w14:paraId="5D9FAE9D" w14:textId="77777777" w:rsidR="007B3AE0" w:rsidRPr="00D7468F" w:rsidRDefault="007B3AE0" w:rsidP="00A53FC9">
      <w:pPr>
        <w:pStyle w:val="Paragraphedeliste"/>
        <w:numPr>
          <w:ilvl w:val="0"/>
          <w:numId w:val="32"/>
        </w:numPr>
        <w:contextualSpacing w:val="0"/>
        <w:jc w:val="both"/>
        <w:rPr>
          <w:rFonts w:ascii="Sto TT" w:eastAsia="Verdana" w:hAnsi="Sto TT" w:cs="Arial"/>
          <w:sz w:val="18"/>
          <w:szCs w:val="18"/>
          <w:u w:val="single"/>
        </w:rPr>
      </w:pPr>
      <w:r w:rsidRPr="00D7468F">
        <w:rPr>
          <w:rFonts w:ascii="Sto TT" w:eastAsia="Verdana" w:hAnsi="Sto TT" w:cs="Arial"/>
          <w:b/>
          <w:bCs/>
          <w:sz w:val="18"/>
          <w:szCs w:val="18"/>
        </w:rPr>
        <w:t>Sto-Cleyer B</w:t>
      </w:r>
      <w:r w:rsidRPr="00D7468F">
        <w:rPr>
          <w:rFonts w:ascii="Sto TT" w:eastAsia="Verdana" w:hAnsi="Sto TT" w:cs="Arial"/>
          <w:sz w:val="18"/>
          <w:szCs w:val="18"/>
        </w:rPr>
        <w:t> + </w:t>
      </w:r>
      <w:r w:rsidRPr="00D7468F">
        <w:rPr>
          <w:rFonts w:ascii="Sto TT" w:eastAsia="Verdana" w:hAnsi="Sto TT" w:cs="Arial"/>
          <w:b/>
          <w:bCs/>
          <w:sz w:val="18"/>
          <w:szCs w:val="18"/>
        </w:rPr>
        <w:t xml:space="preserve">Sto-Colle pour Briquette </w:t>
      </w:r>
      <w:r w:rsidRPr="00D7468F">
        <w:rPr>
          <w:rFonts w:ascii="Sto TT" w:eastAsia="Verdana" w:hAnsi="Sto TT" w:cs="Arial"/>
          <w:sz w:val="18"/>
          <w:szCs w:val="18"/>
        </w:rPr>
        <w:t>- briquettes synthétiques à base de liant acrylique, teintées dans la masse.</w:t>
      </w:r>
    </w:p>
    <w:p w14:paraId="7A9EBEB8" w14:textId="73491B31" w:rsidR="00604151" w:rsidRPr="00D7468F" w:rsidRDefault="00604151" w:rsidP="00A53FC9">
      <w:pPr>
        <w:pStyle w:val="Paragraphedeliste"/>
        <w:numPr>
          <w:ilvl w:val="0"/>
          <w:numId w:val="32"/>
        </w:numPr>
        <w:contextualSpacing w:val="0"/>
        <w:jc w:val="both"/>
        <w:rPr>
          <w:rFonts w:ascii="Sto TT" w:eastAsia="Verdana" w:hAnsi="Sto TT" w:cs="Arial"/>
          <w:sz w:val="18"/>
          <w:szCs w:val="18"/>
          <w:u w:val="single"/>
        </w:rPr>
      </w:pPr>
      <w:r w:rsidRPr="00D7468F">
        <w:rPr>
          <w:rFonts w:ascii="Sto TT" w:eastAsia="Verdana" w:hAnsi="Sto TT" w:cs="Arial"/>
          <w:b/>
          <w:bCs/>
          <w:sz w:val="18"/>
          <w:szCs w:val="18"/>
        </w:rPr>
        <w:t>Sto-Ecos</w:t>
      </w:r>
      <w:r w:rsidR="00804893" w:rsidRPr="00D7468F">
        <w:rPr>
          <w:rFonts w:ascii="Sto TT" w:eastAsia="Verdana" w:hAnsi="Sto TT" w:cs="Arial"/>
          <w:b/>
          <w:bCs/>
          <w:sz w:val="18"/>
          <w:szCs w:val="18"/>
        </w:rPr>
        <w:t>hapes</w:t>
      </w:r>
      <w:r w:rsidRPr="00D7468F">
        <w:rPr>
          <w:rFonts w:ascii="Sto TT" w:eastAsia="Verdana" w:hAnsi="Sto TT" w:cs="Arial"/>
          <w:sz w:val="18"/>
          <w:szCs w:val="18"/>
        </w:rPr>
        <w:t> + </w:t>
      </w:r>
      <w:r w:rsidRPr="00D7468F">
        <w:rPr>
          <w:rFonts w:ascii="Sto TT" w:eastAsia="Verdana" w:hAnsi="Sto TT" w:cs="Arial"/>
          <w:b/>
          <w:bCs/>
          <w:sz w:val="18"/>
          <w:szCs w:val="18"/>
        </w:rPr>
        <w:t xml:space="preserve">Sto-Colle pour Briquette </w:t>
      </w:r>
      <w:r w:rsidR="00804893" w:rsidRPr="00D7468F">
        <w:rPr>
          <w:rFonts w:ascii="Sto TT" w:eastAsia="Verdana" w:hAnsi="Sto TT" w:cs="Arial"/>
          <w:sz w:val="18"/>
          <w:szCs w:val="18"/>
        </w:rPr>
        <w:t>–</w:t>
      </w:r>
      <w:r w:rsidRPr="00D7468F">
        <w:rPr>
          <w:rFonts w:ascii="Sto TT" w:eastAsia="Verdana" w:hAnsi="Sto TT" w:cs="Arial"/>
          <w:sz w:val="18"/>
          <w:szCs w:val="18"/>
        </w:rPr>
        <w:t xml:space="preserve"> briquettes</w:t>
      </w:r>
      <w:r w:rsidR="00804893" w:rsidRPr="00D7468F">
        <w:rPr>
          <w:rFonts w:ascii="Sto TT" w:eastAsia="Verdana" w:hAnsi="Sto TT" w:cs="Arial"/>
          <w:sz w:val="18"/>
          <w:szCs w:val="18"/>
        </w:rPr>
        <w:t xml:space="preserve"> décorative</w:t>
      </w:r>
      <w:r w:rsidR="004417F5" w:rsidRPr="00D7468F">
        <w:rPr>
          <w:rFonts w:ascii="Sto TT" w:eastAsia="Verdana" w:hAnsi="Sto TT" w:cs="Arial"/>
          <w:sz w:val="18"/>
          <w:szCs w:val="18"/>
        </w:rPr>
        <w:t>s</w:t>
      </w:r>
      <w:r w:rsidRPr="00D7468F">
        <w:rPr>
          <w:rFonts w:ascii="Sto TT" w:eastAsia="Verdana" w:hAnsi="Sto TT" w:cs="Arial"/>
          <w:sz w:val="18"/>
          <w:szCs w:val="18"/>
        </w:rPr>
        <w:t xml:space="preserve"> synthétiques à base de liant acrylique</w:t>
      </w:r>
      <w:r w:rsidR="004417F5" w:rsidRPr="00D7468F">
        <w:rPr>
          <w:rFonts w:ascii="Sto TT" w:eastAsia="Verdana" w:hAnsi="Sto TT" w:cs="Arial"/>
          <w:sz w:val="18"/>
          <w:szCs w:val="18"/>
        </w:rPr>
        <w:t xml:space="preserve"> sur mesure</w:t>
      </w:r>
      <w:r w:rsidRPr="00D7468F">
        <w:rPr>
          <w:rFonts w:ascii="Sto TT" w:eastAsia="Verdana" w:hAnsi="Sto TT" w:cs="Arial"/>
          <w:sz w:val="18"/>
          <w:szCs w:val="18"/>
        </w:rPr>
        <w:t>, teintées dans la masse.</w:t>
      </w:r>
    </w:p>
    <w:p w14:paraId="777CD532" w14:textId="77777777" w:rsidR="00090EED" w:rsidRPr="00D7468F" w:rsidRDefault="00090EED" w:rsidP="00A53FC9">
      <w:pPr>
        <w:ind w:left="-709"/>
        <w:jc w:val="both"/>
        <w:rPr>
          <w:rFonts w:ascii="Sto TT" w:eastAsia="Verdana" w:hAnsi="Sto TT" w:cs="Arial"/>
          <w:sz w:val="18"/>
          <w:szCs w:val="18"/>
          <w:u w:val="single"/>
        </w:rPr>
      </w:pPr>
    </w:p>
    <w:p w14:paraId="3124073C" w14:textId="1F7F7373" w:rsidR="00090EED" w:rsidRPr="00D7468F" w:rsidRDefault="00090EED" w:rsidP="00A53FC9">
      <w:pPr>
        <w:ind w:left="-709"/>
        <w:jc w:val="both"/>
        <w:rPr>
          <w:rFonts w:ascii="Sto TT" w:eastAsia="Verdana" w:hAnsi="Sto TT" w:cs="Arial"/>
          <w:sz w:val="18"/>
          <w:szCs w:val="18"/>
          <w:u w:val="single"/>
        </w:rPr>
      </w:pPr>
      <w:r w:rsidRPr="00D7468F">
        <w:rPr>
          <w:rFonts w:ascii="Sto TT" w:eastAsia="Verdana" w:hAnsi="Sto TT" w:cs="Arial"/>
          <w:sz w:val="18"/>
          <w:szCs w:val="18"/>
          <w:u w:val="single"/>
        </w:rPr>
        <w:t>Finitions à deux composants lisse</w:t>
      </w:r>
    </w:p>
    <w:p w14:paraId="4E364CC2" w14:textId="43953BD5" w:rsidR="00090EED" w:rsidRPr="00D7468F" w:rsidRDefault="00090EED" w:rsidP="00A53FC9">
      <w:pPr>
        <w:pStyle w:val="Paragraphedeliste"/>
        <w:numPr>
          <w:ilvl w:val="0"/>
          <w:numId w:val="33"/>
        </w:numPr>
        <w:contextualSpacing w:val="0"/>
        <w:jc w:val="both"/>
        <w:rPr>
          <w:rFonts w:ascii="Sto TT" w:eastAsia="Verdana" w:hAnsi="Sto TT" w:cs="Arial"/>
          <w:b/>
          <w:bCs/>
          <w:sz w:val="18"/>
          <w:szCs w:val="18"/>
        </w:rPr>
      </w:pPr>
      <w:r w:rsidRPr="00D7468F">
        <w:rPr>
          <w:rFonts w:ascii="Sto TT" w:eastAsia="Verdana" w:hAnsi="Sto TT" w:cs="Arial"/>
          <w:b/>
          <w:bCs/>
          <w:sz w:val="18"/>
          <w:szCs w:val="18"/>
        </w:rPr>
        <w:t>StoNivellit + StoColor Silco / Silco G</w:t>
      </w:r>
    </w:p>
    <w:p w14:paraId="0179BB59" w14:textId="77777777" w:rsidR="007B3AE0" w:rsidRPr="00D7468F" w:rsidRDefault="007B3AE0" w:rsidP="00A53FC9">
      <w:pPr>
        <w:ind w:left="-709"/>
        <w:jc w:val="both"/>
        <w:rPr>
          <w:rFonts w:ascii="Sto TT" w:eastAsia="Verdana" w:hAnsi="Sto TT" w:cs="Arial"/>
          <w:sz w:val="18"/>
          <w:szCs w:val="18"/>
        </w:rPr>
      </w:pPr>
    </w:p>
    <w:p w14:paraId="046D6E0E" w14:textId="7C07D0FC" w:rsidR="00477D98" w:rsidRPr="00D7468F" w:rsidRDefault="00477D98" w:rsidP="00A53FC9">
      <w:pPr>
        <w:ind w:left="-709"/>
        <w:jc w:val="both"/>
        <w:rPr>
          <w:rFonts w:ascii="Sto TT" w:eastAsia="Verdana" w:hAnsi="Sto TT" w:cs="Arial"/>
          <w:sz w:val="18"/>
          <w:szCs w:val="18"/>
        </w:rPr>
      </w:pPr>
      <w:r w:rsidRPr="00D7468F">
        <w:rPr>
          <w:rFonts w:ascii="Sto TT" w:eastAsia="Verdana" w:hAnsi="Sto TT" w:cs="Arial"/>
          <w:sz w:val="18"/>
          <w:szCs w:val="18"/>
        </w:rPr>
        <w:t>Peintures optionnelles - ces peintures sont optionnelles et ne modifient pas la performance feu du système (A2-s1,d0)</w:t>
      </w:r>
    </w:p>
    <w:p w14:paraId="7523BB24" w14:textId="1AB52363" w:rsidR="00477D98" w:rsidRPr="00D7468F" w:rsidRDefault="00477D98" w:rsidP="00A53FC9">
      <w:pPr>
        <w:pStyle w:val="Paragraphedeliste"/>
        <w:numPr>
          <w:ilvl w:val="0"/>
          <w:numId w:val="17"/>
        </w:numPr>
        <w:contextualSpacing w:val="0"/>
        <w:jc w:val="both"/>
        <w:rPr>
          <w:rFonts w:ascii="Sto TT" w:eastAsia="Verdana" w:hAnsi="Sto TT" w:cs="Arial"/>
          <w:b/>
          <w:bCs/>
          <w:sz w:val="18"/>
          <w:szCs w:val="18"/>
        </w:rPr>
      </w:pPr>
      <w:r w:rsidRPr="00D7468F">
        <w:rPr>
          <w:rFonts w:ascii="Sto TT" w:eastAsia="Verdana" w:hAnsi="Sto TT" w:cs="Arial"/>
          <w:b/>
          <w:bCs/>
          <w:sz w:val="18"/>
          <w:szCs w:val="18"/>
        </w:rPr>
        <w:t xml:space="preserve">StoColor </w:t>
      </w:r>
      <w:r w:rsidR="008D59F9" w:rsidRPr="00D7468F">
        <w:rPr>
          <w:rFonts w:ascii="Sto TT" w:eastAsia="Verdana" w:hAnsi="Sto TT" w:cs="Arial"/>
          <w:b/>
          <w:bCs/>
          <w:sz w:val="18"/>
          <w:szCs w:val="18"/>
        </w:rPr>
        <w:t>Lotusan</w:t>
      </w:r>
      <w:r w:rsidR="001F1EAA" w:rsidRPr="00D7468F">
        <w:rPr>
          <w:rFonts w:ascii="Sto TT" w:eastAsia="Verdana" w:hAnsi="Sto TT" w:cs="Arial"/>
          <w:b/>
          <w:bCs/>
          <w:sz w:val="18"/>
          <w:szCs w:val="18"/>
        </w:rPr>
        <w:t xml:space="preserve"> </w:t>
      </w:r>
      <w:r w:rsidRPr="00D7468F">
        <w:rPr>
          <w:rFonts w:ascii="Sto TT" w:eastAsia="Verdana" w:hAnsi="Sto TT" w:cs="Arial"/>
          <w:b/>
          <w:bCs/>
          <w:sz w:val="18"/>
          <w:szCs w:val="18"/>
        </w:rPr>
        <w:t xml:space="preserve">: </w:t>
      </w:r>
      <w:r w:rsidRPr="00D7468F">
        <w:rPr>
          <w:rFonts w:ascii="Sto TT" w:eastAsia="Verdana" w:hAnsi="Sto TT" w:cs="Arial"/>
          <w:sz w:val="18"/>
          <w:szCs w:val="18"/>
        </w:rPr>
        <w:t xml:space="preserve">siloxane, </w:t>
      </w:r>
      <w:r w:rsidR="008D59F9" w:rsidRPr="00D7468F">
        <w:rPr>
          <w:rFonts w:ascii="Sto TT" w:eastAsia="Verdana" w:hAnsi="Sto TT" w:cs="Arial"/>
          <w:sz w:val="18"/>
          <w:szCs w:val="18"/>
        </w:rPr>
        <w:t xml:space="preserve">autonettoyant, haute durabilité, </w:t>
      </w:r>
      <w:r w:rsidRPr="00D7468F">
        <w:rPr>
          <w:rFonts w:ascii="Sto TT" w:eastAsia="Verdana" w:hAnsi="Sto TT" w:cs="Arial"/>
          <w:sz w:val="18"/>
          <w:szCs w:val="18"/>
        </w:rPr>
        <w:t>aspect mat</w:t>
      </w:r>
      <w:r w:rsidR="008D59F9" w:rsidRPr="00D7468F">
        <w:rPr>
          <w:rFonts w:ascii="Sto TT" w:eastAsia="Verdana" w:hAnsi="Sto TT" w:cs="Arial"/>
          <w:sz w:val="18"/>
          <w:szCs w:val="18"/>
        </w:rPr>
        <w:t xml:space="preserve"> </w:t>
      </w:r>
    </w:p>
    <w:p w14:paraId="09C1ACD7" w14:textId="77777777" w:rsidR="00477D98" w:rsidRPr="00D7468F" w:rsidRDefault="00477D98" w:rsidP="00A53FC9">
      <w:pPr>
        <w:pStyle w:val="Paragraphedeliste"/>
        <w:numPr>
          <w:ilvl w:val="0"/>
          <w:numId w:val="17"/>
        </w:numPr>
        <w:contextualSpacing w:val="0"/>
        <w:jc w:val="both"/>
        <w:rPr>
          <w:rFonts w:ascii="Sto TT" w:eastAsia="Verdana" w:hAnsi="Sto TT" w:cs="Arial"/>
          <w:b/>
          <w:bCs/>
          <w:sz w:val="18"/>
          <w:szCs w:val="18"/>
        </w:rPr>
      </w:pPr>
      <w:r w:rsidRPr="00D7468F">
        <w:rPr>
          <w:rFonts w:ascii="Sto TT" w:eastAsia="Verdana" w:hAnsi="Sto TT" w:cs="Arial"/>
          <w:b/>
          <w:bCs/>
          <w:sz w:val="18"/>
          <w:szCs w:val="18"/>
        </w:rPr>
        <w:t xml:space="preserve">StoColor Solical : </w:t>
      </w:r>
      <w:r w:rsidRPr="00D7468F">
        <w:rPr>
          <w:rFonts w:ascii="Sto TT" w:eastAsia="Verdana" w:hAnsi="Sto TT" w:cs="Arial"/>
          <w:sz w:val="18"/>
          <w:szCs w:val="18"/>
        </w:rPr>
        <w:t>silicate + silice colloïdale, aspect mat</w:t>
      </w:r>
    </w:p>
    <w:p w14:paraId="79351D05" w14:textId="1F55726B" w:rsidR="00770D06" w:rsidRPr="00D7468F" w:rsidRDefault="00770D06" w:rsidP="00A53FC9">
      <w:pPr>
        <w:pStyle w:val="Paragraphedeliste"/>
        <w:numPr>
          <w:ilvl w:val="0"/>
          <w:numId w:val="17"/>
        </w:numPr>
        <w:contextualSpacing w:val="0"/>
        <w:jc w:val="both"/>
        <w:rPr>
          <w:rFonts w:ascii="Sto TT" w:eastAsia="Verdana" w:hAnsi="Sto TT" w:cs="Arial"/>
          <w:b/>
          <w:bCs/>
          <w:sz w:val="18"/>
          <w:szCs w:val="18"/>
          <w:lang w:val="en-US"/>
        </w:rPr>
      </w:pPr>
      <w:r w:rsidRPr="00D7468F">
        <w:rPr>
          <w:rFonts w:ascii="Sto TT" w:eastAsia="Verdana" w:hAnsi="Sto TT" w:cs="Arial"/>
          <w:b/>
          <w:bCs/>
          <w:sz w:val="18"/>
          <w:szCs w:val="18"/>
          <w:lang w:val="en-US"/>
        </w:rPr>
        <w:t xml:space="preserve">StoColor Silco/Silco </w:t>
      </w:r>
      <w:proofErr w:type="gramStart"/>
      <w:r w:rsidRPr="00D7468F">
        <w:rPr>
          <w:rFonts w:ascii="Sto TT" w:eastAsia="Verdana" w:hAnsi="Sto TT" w:cs="Arial"/>
          <w:b/>
          <w:bCs/>
          <w:sz w:val="18"/>
          <w:szCs w:val="18"/>
          <w:lang w:val="en-US"/>
        </w:rPr>
        <w:t>G :</w:t>
      </w:r>
      <w:proofErr w:type="gramEnd"/>
      <w:r w:rsidRPr="00D7468F">
        <w:rPr>
          <w:rFonts w:ascii="Sto TT" w:eastAsia="Verdana" w:hAnsi="Sto TT" w:cs="Arial"/>
          <w:b/>
          <w:bCs/>
          <w:sz w:val="18"/>
          <w:szCs w:val="18"/>
          <w:lang w:val="en-US"/>
        </w:rPr>
        <w:t xml:space="preserve"> </w:t>
      </w:r>
      <w:r w:rsidRPr="00D7468F">
        <w:rPr>
          <w:rFonts w:ascii="Sto TT" w:eastAsia="Verdana" w:hAnsi="Sto TT" w:cs="Arial"/>
          <w:sz w:val="18"/>
          <w:szCs w:val="18"/>
          <w:lang w:val="en-US"/>
        </w:rPr>
        <w:t>siloxane, aspect mat</w:t>
      </w:r>
    </w:p>
    <w:p w14:paraId="05A7432E" w14:textId="77777777" w:rsidR="00770D06" w:rsidRPr="00D7468F" w:rsidRDefault="00770D06" w:rsidP="00A53FC9">
      <w:pPr>
        <w:pStyle w:val="Paragraphedeliste"/>
        <w:numPr>
          <w:ilvl w:val="0"/>
          <w:numId w:val="17"/>
        </w:numPr>
        <w:contextualSpacing w:val="0"/>
        <w:jc w:val="both"/>
        <w:rPr>
          <w:rFonts w:ascii="Sto TT" w:eastAsia="Verdana" w:hAnsi="Sto TT" w:cs="Arial"/>
          <w:sz w:val="18"/>
          <w:szCs w:val="18"/>
        </w:rPr>
      </w:pPr>
      <w:r w:rsidRPr="00D7468F">
        <w:rPr>
          <w:rFonts w:ascii="Sto TT" w:eastAsia="Verdana" w:hAnsi="Sto TT" w:cs="Arial"/>
          <w:b/>
          <w:bCs/>
          <w:sz w:val="18"/>
          <w:szCs w:val="18"/>
        </w:rPr>
        <w:t xml:space="preserve">StoColor Jumbosil : </w:t>
      </w:r>
      <w:r w:rsidRPr="00D7468F">
        <w:rPr>
          <w:rFonts w:ascii="Sto TT" w:eastAsia="Verdana" w:hAnsi="Sto TT" w:cs="Arial"/>
          <w:sz w:val="18"/>
          <w:szCs w:val="18"/>
        </w:rPr>
        <w:t>acrylique + siloxane, aspect mat</w:t>
      </w:r>
    </w:p>
    <w:p w14:paraId="306A6EEF" w14:textId="77777777" w:rsidR="009A4F47" w:rsidRPr="00D7468F" w:rsidRDefault="009A4F47" w:rsidP="00A53FC9">
      <w:pPr>
        <w:ind w:left="-709"/>
        <w:jc w:val="both"/>
        <w:rPr>
          <w:rFonts w:ascii="Sto TT" w:eastAsia="Verdana" w:hAnsi="Sto TT" w:cs="Arial"/>
          <w:sz w:val="18"/>
          <w:szCs w:val="18"/>
        </w:rPr>
      </w:pPr>
    </w:p>
    <w:p w14:paraId="3373BB14" w14:textId="63F75570" w:rsidR="009A4F47" w:rsidRPr="00D7468F" w:rsidRDefault="009A4F47" w:rsidP="00A53FC9">
      <w:pPr>
        <w:ind w:left="-709"/>
        <w:jc w:val="both"/>
        <w:rPr>
          <w:rFonts w:ascii="Sto TT" w:eastAsia="Verdana" w:hAnsi="Sto TT" w:cs="Arial"/>
          <w:b/>
          <w:bCs/>
          <w:sz w:val="18"/>
          <w:szCs w:val="18"/>
        </w:rPr>
      </w:pPr>
      <w:r w:rsidRPr="00D7468F">
        <w:rPr>
          <w:rFonts w:ascii="Sto TT" w:eastAsia="Verdana" w:hAnsi="Sto TT" w:cs="Arial"/>
          <w:b/>
          <w:bCs/>
          <w:sz w:val="18"/>
          <w:szCs w:val="18"/>
        </w:rPr>
        <w:t>Catégori</w:t>
      </w:r>
      <w:r w:rsidR="00793097" w:rsidRPr="00D7468F">
        <w:rPr>
          <w:rFonts w:ascii="Sto TT" w:eastAsia="Verdana" w:hAnsi="Sto TT" w:cs="Arial"/>
          <w:b/>
          <w:bCs/>
          <w:sz w:val="18"/>
          <w:szCs w:val="18"/>
        </w:rPr>
        <w:t>es de résistance aux chocs</w:t>
      </w:r>
    </w:p>
    <w:p w14:paraId="6437CB9F" w14:textId="5D339CA6" w:rsidR="00914DD2" w:rsidRPr="00D7468F" w:rsidRDefault="00311B45" w:rsidP="00A53FC9">
      <w:pPr>
        <w:ind w:left="-709"/>
        <w:jc w:val="both"/>
        <w:rPr>
          <w:rFonts w:ascii="Sto TT" w:eastAsia="Verdana" w:hAnsi="Sto TT" w:cs="Arial"/>
          <w:sz w:val="18"/>
          <w:szCs w:val="18"/>
        </w:rPr>
      </w:pPr>
      <w:r w:rsidRPr="00D7468F">
        <w:rPr>
          <w:rFonts w:ascii="Sto TT" w:eastAsia="Verdana" w:hAnsi="Sto TT" w:cs="Arial"/>
          <w:sz w:val="18"/>
          <w:szCs w:val="18"/>
        </w:rPr>
        <w:t>La résistance aux chocs du système dépend du type de finition : les enduits de granulométrie ≥ 2 mm et les finitions structurées sont classés en catégorie I (zones exposées aux chocs), tandis que les finitions plus fines (1,5 mm) sont en catégorie II</w:t>
      </w:r>
      <w:r w:rsidR="007A3150" w:rsidRPr="00D7468F">
        <w:rPr>
          <w:rFonts w:ascii="Sto TT" w:eastAsia="Verdana" w:hAnsi="Sto TT" w:cs="Arial"/>
          <w:sz w:val="18"/>
          <w:szCs w:val="18"/>
        </w:rPr>
        <w:t>.</w:t>
      </w:r>
    </w:p>
    <w:p w14:paraId="77F6D102" w14:textId="77777777" w:rsidR="00F90C81" w:rsidRPr="00D7468F" w:rsidRDefault="00F90C81" w:rsidP="00A53FC9">
      <w:pPr>
        <w:ind w:left="-709"/>
        <w:jc w:val="both"/>
        <w:rPr>
          <w:rFonts w:ascii="Sto TT" w:eastAsia="Verdana" w:hAnsi="Sto TT" w:cs="Arial"/>
          <w:sz w:val="18"/>
          <w:szCs w:val="18"/>
        </w:rPr>
      </w:pPr>
    </w:p>
    <w:p w14:paraId="41BD21B0" w14:textId="5CC10EB4" w:rsidR="00F90C81" w:rsidRPr="00D7468F" w:rsidRDefault="00F90C81" w:rsidP="00A53FC9">
      <w:pPr>
        <w:ind w:left="-709"/>
        <w:jc w:val="both"/>
        <w:rPr>
          <w:rFonts w:ascii="Sto TT" w:eastAsia="Verdana" w:hAnsi="Sto TT" w:cs="Arial"/>
          <w:sz w:val="18"/>
          <w:szCs w:val="18"/>
        </w:rPr>
      </w:pPr>
      <w:r w:rsidRPr="00D7468F">
        <w:rPr>
          <w:rFonts w:ascii="Sto TT" w:eastAsia="Verdana" w:hAnsi="Sto TT" w:cs="Arial"/>
          <w:sz w:val="18"/>
          <w:szCs w:val="18"/>
        </w:rPr>
        <w:t>Les finitions décoratives en briquettes synthétiques (</w:t>
      </w:r>
      <w:r w:rsidRPr="00D7468F">
        <w:rPr>
          <w:rFonts w:ascii="Sto TT" w:eastAsia="Verdana" w:hAnsi="Sto TT" w:cs="Arial"/>
          <w:b/>
          <w:bCs/>
          <w:sz w:val="18"/>
          <w:szCs w:val="18"/>
        </w:rPr>
        <w:t>StoCleyer B</w:t>
      </w:r>
      <w:r w:rsidRPr="00D7468F">
        <w:rPr>
          <w:rFonts w:ascii="Sto TT" w:eastAsia="Verdana" w:hAnsi="Sto TT" w:cs="Arial"/>
          <w:sz w:val="18"/>
          <w:szCs w:val="18"/>
        </w:rPr>
        <w:t xml:space="preserve"> ou </w:t>
      </w:r>
      <w:r w:rsidRPr="00D7468F">
        <w:rPr>
          <w:rFonts w:ascii="Sto TT" w:eastAsia="Verdana" w:hAnsi="Sto TT" w:cs="Arial"/>
          <w:b/>
          <w:bCs/>
          <w:sz w:val="18"/>
          <w:szCs w:val="18"/>
        </w:rPr>
        <w:t>Sto-Ecoshape</w:t>
      </w:r>
      <w:r w:rsidRPr="00D7468F">
        <w:rPr>
          <w:rFonts w:ascii="Sto TT" w:eastAsia="Verdana" w:hAnsi="Sto TT" w:cs="Arial"/>
          <w:sz w:val="18"/>
          <w:szCs w:val="18"/>
        </w:rPr>
        <w:t xml:space="preserve">), lorsqu’elles sont posées avec un mortier de collage d’au moins 4 mm d’épaisseur, sont également classées en </w:t>
      </w:r>
      <w:r w:rsidRPr="00D7468F">
        <w:rPr>
          <w:rFonts w:ascii="Sto TT" w:eastAsia="Verdana" w:hAnsi="Sto TT" w:cs="Arial"/>
          <w:b/>
          <w:bCs/>
          <w:sz w:val="18"/>
          <w:szCs w:val="18"/>
        </w:rPr>
        <w:t>catégorie I</w:t>
      </w:r>
    </w:p>
    <w:p w14:paraId="5D7F1B97" w14:textId="77777777" w:rsidR="00311B45" w:rsidRPr="00D7468F" w:rsidRDefault="00311B45" w:rsidP="00A53FC9">
      <w:pPr>
        <w:ind w:left="-709"/>
        <w:jc w:val="both"/>
        <w:rPr>
          <w:rFonts w:ascii="Sto TT" w:eastAsia="Verdana" w:hAnsi="Sto TT" w:cs="Arial"/>
          <w:sz w:val="18"/>
          <w:szCs w:val="18"/>
        </w:rPr>
      </w:pPr>
    </w:p>
    <w:p w14:paraId="76909730" w14:textId="4B23B215" w:rsidR="001D7875" w:rsidRPr="00D7468F" w:rsidRDefault="001D7875"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Les configurations en </w:t>
      </w:r>
      <w:r w:rsidRPr="00D7468F">
        <w:rPr>
          <w:rFonts w:ascii="Sto TT" w:eastAsia="Verdana" w:hAnsi="Sto TT" w:cs="Arial"/>
          <w:b/>
          <w:bCs/>
          <w:sz w:val="18"/>
          <w:szCs w:val="18"/>
        </w:rPr>
        <w:t>catégorie II</w:t>
      </w:r>
      <w:r w:rsidRPr="00D7468F">
        <w:rPr>
          <w:rFonts w:ascii="Sto TT" w:eastAsia="Verdana" w:hAnsi="Sto TT" w:cs="Arial"/>
          <w:sz w:val="18"/>
          <w:szCs w:val="18"/>
        </w:rPr>
        <w:t xml:space="preserve"> ne sont </w:t>
      </w:r>
      <w:r w:rsidRPr="00D7468F">
        <w:rPr>
          <w:rFonts w:ascii="Sto TT" w:eastAsia="Verdana" w:hAnsi="Sto TT" w:cs="Arial"/>
          <w:b/>
          <w:bCs/>
          <w:sz w:val="18"/>
          <w:szCs w:val="18"/>
        </w:rPr>
        <w:t>pas recommandées en rez-de-chaussée très exposé</w:t>
      </w:r>
      <w:r w:rsidRPr="00D7468F">
        <w:rPr>
          <w:rFonts w:ascii="Sto TT" w:eastAsia="Verdana" w:hAnsi="Sto TT" w:cs="Arial"/>
          <w:sz w:val="18"/>
          <w:szCs w:val="18"/>
        </w:rPr>
        <w:t>, sauf si des protections complémentaires sont mises en œuvre.</w:t>
      </w:r>
    </w:p>
    <w:p w14:paraId="0EEED403" w14:textId="77777777" w:rsidR="001D7875" w:rsidRPr="00D7468F" w:rsidRDefault="001D7875" w:rsidP="00A53FC9">
      <w:pPr>
        <w:ind w:left="-709"/>
        <w:jc w:val="both"/>
        <w:rPr>
          <w:rFonts w:ascii="Sto TT" w:eastAsia="Verdana" w:hAnsi="Sto TT" w:cs="Arial"/>
          <w:sz w:val="18"/>
          <w:szCs w:val="18"/>
          <w:u w:val="single"/>
        </w:rPr>
      </w:pPr>
    </w:p>
    <w:p w14:paraId="65E80C5D" w14:textId="77777777" w:rsidR="007D3A4D" w:rsidRPr="00D7468F" w:rsidRDefault="007D3A4D" w:rsidP="00A53FC9">
      <w:pPr>
        <w:ind w:left="-709" w:right="1"/>
        <w:jc w:val="both"/>
        <w:rPr>
          <w:rFonts w:ascii="Sto TT" w:eastAsia="Courier New" w:hAnsi="Sto TT" w:cs="Arial"/>
          <w:sz w:val="18"/>
          <w:szCs w:val="18"/>
        </w:rPr>
      </w:pPr>
      <w:r w:rsidRPr="00D7468F">
        <w:rPr>
          <w:rFonts w:ascii="Sto TT" w:eastAsia="Verdana" w:hAnsi="Sto TT" w:cs="Arial"/>
          <w:b/>
          <w:bCs/>
          <w:sz w:val="18"/>
          <w:szCs w:val="18"/>
          <w:u w:val="single"/>
        </w:rPr>
        <w:t>Traitement des bouchons d'ancrage d’échafaudage</w:t>
      </w:r>
    </w:p>
    <w:p w14:paraId="122F2EEB" w14:textId="77777777" w:rsidR="007D3A4D" w:rsidRPr="00D7468F" w:rsidRDefault="007D3A4D"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Utilisation de </w:t>
      </w:r>
      <w:r w:rsidRPr="00D7468F">
        <w:rPr>
          <w:rFonts w:ascii="Sto TT" w:eastAsia="Verdana" w:hAnsi="Sto TT" w:cs="Arial"/>
          <w:b/>
          <w:bCs/>
          <w:sz w:val="18"/>
          <w:szCs w:val="18"/>
        </w:rPr>
        <w:t>Sto-Bouchon d’ancrage</w:t>
      </w:r>
      <w:r w:rsidRPr="00D7468F">
        <w:rPr>
          <w:rFonts w:ascii="Sto TT" w:eastAsia="Verdana" w:hAnsi="Sto TT" w:cs="Arial"/>
          <w:sz w:val="18"/>
          <w:szCs w:val="18"/>
        </w:rPr>
        <w:t xml:space="preserve"> en mousse imprégnée ou de bouchons de même nature que l'isolant, pour combler les trous d’ancrage d’échafaudage laissés dans les façades isolées et enduites.</w:t>
      </w:r>
    </w:p>
    <w:p w14:paraId="288AD445" w14:textId="2DCF96BE" w:rsidR="00004B07" w:rsidRDefault="00004B07">
      <w:pPr>
        <w:spacing w:after="160" w:line="278" w:lineRule="auto"/>
        <w:rPr>
          <w:rFonts w:ascii="Sto TT" w:eastAsia="Verdana" w:hAnsi="Sto TT" w:cs="Arial"/>
          <w:sz w:val="18"/>
          <w:szCs w:val="18"/>
        </w:rPr>
      </w:pPr>
    </w:p>
    <w:p w14:paraId="2D5F1FDD" w14:textId="0FD6C75A" w:rsidR="00163FE9" w:rsidRDefault="00163FE9">
      <w:pPr>
        <w:spacing w:after="160" w:line="278" w:lineRule="auto"/>
        <w:rPr>
          <w:rFonts w:ascii="Sto TT" w:eastAsia="Verdana" w:hAnsi="Sto TT" w:cs="Arial"/>
          <w:sz w:val="18"/>
          <w:szCs w:val="18"/>
        </w:rPr>
      </w:pPr>
      <w:r>
        <w:rPr>
          <w:rFonts w:ascii="Sto TT" w:eastAsia="Verdana" w:hAnsi="Sto TT" w:cs="Arial"/>
          <w:sz w:val="18"/>
          <w:szCs w:val="18"/>
        </w:rPr>
        <w:br w:type="page"/>
      </w:r>
    </w:p>
    <w:tbl>
      <w:tblPr>
        <w:tblStyle w:val="Grilledutableau"/>
        <w:tblW w:w="10422" w:type="dxa"/>
        <w:tblInd w:w="-742" w:type="dxa"/>
        <w:tblBorders>
          <w:insideH w:val="none" w:sz="0" w:space="0" w:color="auto"/>
          <w:insideV w:val="none" w:sz="0" w:space="0" w:color="auto"/>
        </w:tblBorders>
        <w:tblLook w:val="04A0" w:firstRow="1" w:lastRow="0" w:firstColumn="1" w:lastColumn="0" w:noHBand="0" w:noVBand="1"/>
      </w:tblPr>
      <w:tblGrid>
        <w:gridCol w:w="10422"/>
      </w:tblGrid>
      <w:tr w:rsidR="007412EC" w:rsidRPr="00D7468F" w14:paraId="04E84010" w14:textId="77777777" w:rsidTr="00004B07">
        <w:trPr>
          <w:trHeight w:val="258"/>
        </w:trPr>
        <w:tc>
          <w:tcPr>
            <w:tcW w:w="10422" w:type="dxa"/>
          </w:tcPr>
          <w:p w14:paraId="4A38ECFB" w14:textId="77777777" w:rsidR="007412EC" w:rsidRPr="00D7468F" w:rsidRDefault="007412EC" w:rsidP="00E80E5E">
            <w:pPr>
              <w:jc w:val="center"/>
              <w:rPr>
                <w:rFonts w:ascii="Sto TT" w:eastAsia="Verdana" w:hAnsi="Sto TT" w:cs="Arial"/>
                <w:b/>
                <w:bCs/>
                <w:color w:val="2E74B5" w:themeColor="accent5" w:themeShade="BF"/>
                <w:sz w:val="22"/>
                <w:szCs w:val="22"/>
              </w:rPr>
            </w:pPr>
            <w:r w:rsidRPr="00D7468F">
              <w:rPr>
                <w:rFonts w:ascii="Sto TT" w:eastAsia="Verdana" w:hAnsi="Sto TT" w:cs="Arial"/>
                <w:b/>
                <w:bCs/>
                <w:color w:val="2E74B5" w:themeColor="accent5" w:themeShade="BF"/>
                <w:sz w:val="22"/>
                <w:szCs w:val="22"/>
              </w:rPr>
              <w:lastRenderedPageBreak/>
              <w:t>Gamme Hiver Sto</w:t>
            </w:r>
          </w:p>
        </w:tc>
      </w:tr>
    </w:tbl>
    <w:p w14:paraId="5CEE6859" w14:textId="77777777" w:rsidR="007412EC" w:rsidRPr="00D7468F" w:rsidRDefault="007412EC" w:rsidP="007412EC">
      <w:pPr>
        <w:ind w:left="-709"/>
        <w:rPr>
          <w:rFonts w:ascii="Sto TT" w:eastAsia="Verdana" w:hAnsi="Sto TT" w:cs="Arial"/>
          <w:sz w:val="18"/>
          <w:szCs w:val="18"/>
        </w:rPr>
      </w:pPr>
    </w:p>
    <w:p w14:paraId="4126038F" w14:textId="77777777" w:rsidR="007412EC" w:rsidRPr="00D7468F" w:rsidRDefault="007412EC" w:rsidP="00A53FC9">
      <w:pPr>
        <w:ind w:left="-709"/>
        <w:jc w:val="both"/>
        <w:rPr>
          <w:rFonts w:ascii="Sto TT" w:eastAsia="Verdana" w:hAnsi="Sto TT" w:cs="Arial"/>
          <w:sz w:val="18"/>
          <w:szCs w:val="18"/>
        </w:rPr>
      </w:pPr>
      <w:r w:rsidRPr="00D7468F">
        <w:rPr>
          <w:rFonts w:ascii="Sto TT" w:eastAsia="Verdana" w:hAnsi="Sto TT" w:cs="Arial"/>
          <w:sz w:val="18"/>
          <w:szCs w:val="18"/>
        </w:rPr>
        <w:t>La </w:t>
      </w:r>
      <w:r w:rsidRPr="00D7468F">
        <w:rPr>
          <w:rFonts w:ascii="Sto TT" w:eastAsia="Verdana" w:hAnsi="Sto TT" w:cs="Arial"/>
          <w:b/>
          <w:bCs/>
          <w:sz w:val="18"/>
          <w:szCs w:val="18"/>
        </w:rPr>
        <w:t>Gamme Hiver Sto</w:t>
      </w:r>
      <w:r w:rsidRPr="00D7468F">
        <w:rPr>
          <w:rFonts w:ascii="Sto TT" w:eastAsia="Verdana" w:hAnsi="Sto TT"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D7468F">
        <w:rPr>
          <w:rFonts w:ascii="Sto TT" w:eastAsia="Verdana" w:hAnsi="Sto TT" w:cs="Arial"/>
          <w:b/>
          <w:bCs/>
          <w:sz w:val="18"/>
          <w:szCs w:val="18"/>
        </w:rPr>
        <w:t>organiques</w:t>
      </w:r>
      <w:r w:rsidRPr="00D7468F">
        <w:rPr>
          <w:rFonts w:ascii="Sto TT" w:eastAsia="Verdana" w:hAnsi="Sto TT" w:cs="Arial"/>
          <w:sz w:val="18"/>
          <w:szCs w:val="18"/>
        </w:rPr>
        <w:t xml:space="preserve"> ou </w:t>
      </w:r>
      <w:r w:rsidRPr="00D7468F">
        <w:rPr>
          <w:rFonts w:ascii="Sto TT" w:eastAsia="Verdana" w:hAnsi="Sto TT" w:cs="Arial"/>
          <w:b/>
          <w:bCs/>
          <w:sz w:val="18"/>
          <w:szCs w:val="18"/>
        </w:rPr>
        <w:t xml:space="preserve">minéraux. </w:t>
      </w:r>
      <w:r w:rsidRPr="00D7468F">
        <w:rPr>
          <w:rFonts w:ascii="Sto TT" w:eastAsia="Verdana" w:hAnsi="Sto TT" w:cs="Arial"/>
          <w:sz w:val="18"/>
          <w:szCs w:val="18"/>
        </w:rPr>
        <w:t>Afin d’assurer la performance des systèmes Sto en conditions hivernales, il est impératif de respecter les points suivants :</w:t>
      </w:r>
    </w:p>
    <w:p w14:paraId="6A636DFF" w14:textId="77777777" w:rsidR="007412EC" w:rsidRPr="00D7468F" w:rsidRDefault="007412EC" w:rsidP="00A53FC9">
      <w:pPr>
        <w:ind w:left="-709"/>
        <w:jc w:val="both"/>
        <w:rPr>
          <w:rFonts w:ascii="Sto TT" w:eastAsia="Verdana" w:hAnsi="Sto TT" w:cs="Arial"/>
          <w:sz w:val="18"/>
          <w:szCs w:val="18"/>
        </w:rPr>
      </w:pPr>
    </w:p>
    <w:p w14:paraId="2632F314" w14:textId="77777777" w:rsidR="00A53FC9" w:rsidRPr="00D7468F" w:rsidRDefault="007412EC" w:rsidP="00A53FC9">
      <w:pPr>
        <w:pStyle w:val="Paragraphedeliste"/>
        <w:numPr>
          <w:ilvl w:val="0"/>
          <w:numId w:val="6"/>
        </w:numPr>
        <w:contextualSpacing w:val="0"/>
        <w:jc w:val="both"/>
        <w:rPr>
          <w:rFonts w:ascii="Sto TT" w:eastAsia="Verdana" w:hAnsi="Sto TT" w:cs="Arial"/>
          <w:sz w:val="18"/>
          <w:szCs w:val="18"/>
        </w:rPr>
      </w:pPr>
      <w:r w:rsidRPr="00D7468F">
        <w:rPr>
          <w:rFonts w:ascii="Sto TT" w:eastAsia="Verdana" w:hAnsi="Sto TT" w:cs="Arial"/>
          <w:b/>
          <w:bCs/>
          <w:sz w:val="18"/>
          <w:szCs w:val="18"/>
        </w:rPr>
        <w:t>Respecter les températures d’application</w:t>
      </w:r>
      <w:r w:rsidRPr="00D7468F">
        <w:rPr>
          <w:rFonts w:ascii="Sto TT" w:eastAsia="Verdana" w:hAnsi="Sto TT" w:cs="Arial"/>
          <w:sz w:val="18"/>
          <w:szCs w:val="18"/>
        </w:rPr>
        <w:t> indiquées pour chaque produit :</w:t>
      </w:r>
    </w:p>
    <w:p w14:paraId="57611347" w14:textId="0BA4068F" w:rsidR="007412EC" w:rsidRPr="00D7468F" w:rsidRDefault="007412EC" w:rsidP="00A53FC9">
      <w:pPr>
        <w:pStyle w:val="Paragraphedeliste"/>
        <w:numPr>
          <w:ilvl w:val="0"/>
          <w:numId w:val="6"/>
        </w:numPr>
        <w:contextualSpacing w:val="0"/>
        <w:jc w:val="both"/>
        <w:rPr>
          <w:rFonts w:ascii="Sto TT" w:eastAsia="Verdana" w:hAnsi="Sto TT" w:cs="Arial"/>
          <w:sz w:val="18"/>
          <w:szCs w:val="18"/>
        </w:rPr>
      </w:pPr>
      <w:r w:rsidRPr="00D7468F">
        <w:rPr>
          <w:rFonts w:ascii="Sto TT" w:eastAsia="Verdana" w:hAnsi="Sto TT" w:cs="Arial"/>
          <w:sz w:val="18"/>
          <w:szCs w:val="18"/>
        </w:rPr>
        <w:t>Certains produits sont compatibles dès +1°C et supportent jusqu’à -5°C la nuit, d’autres nécessitent +5°C minimum.</w:t>
      </w:r>
    </w:p>
    <w:p w14:paraId="3CBFA45C" w14:textId="77777777" w:rsidR="00A53FC9" w:rsidRPr="00D7468F" w:rsidRDefault="007412EC" w:rsidP="00A53FC9">
      <w:pPr>
        <w:pStyle w:val="Paragraphedeliste"/>
        <w:numPr>
          <w:ilvl w:val="0"/>
          <w:numId w:val="6"/>
        </w:numPr>
        <w:contextualSpacing w:val="0"/>
        <w:jc w:val="both"/>
        <w:rPr>
          <w:rFonts w:ascii="Sto TT" w:eastAsia="Verdana" w:hAnsi="Sto TT" w:cs="Arial"/>
          <w:sz w:val="18"/>
          <w:szCs w:val="18"/>
        </w:rPr>
      </w:pPr>
      <w:r w:rsidRPr="00D7468F">
        <w:rPr>
          <w:rFonts w:ascii="Sto TT" w:eastAsia="Verdana" w:hAnsi="Sto TT" w:cs="Arial"/>
          <w:b/>
          <w:bCs/>
          <w:sz w:val="18"/>
          <w:szCs w:val="18"/>
        </w:rPr>
        <w:t>Prévoir les additifs spécifiques</w:t>
      </w:r>
      <w:r w:rsidRPr="00D7468F">
        <w:rPr>
          <w:rFonts w:ascii="Sto TT" w:eastAsia="Verdana" w:hAnsi="Sto TT" w:cs="Arial"/>
          <w:sz w:val="18"/>
          <w:szCs w:val="18"/>
        </w:rPr>
        <w:t> </w:t>
      </w:r>
      <w:r w:rsidRPr="00D7468F">
        <w:rPr>
          <w:rFonts w:ascii="Sto TT" w:eastAsia="Verdana" w:hAnsi="Sto TT" w:cs="Arial"/>
          <w:b/>
          <w:bCs/>
          <w:sz w:val="18"/>
          <w:szCs w:val="18"/>
        </w:rPr>
        <w:t>(WE) en cas de non-emploi de la gamme hiver QS</w:t>
      </w:r>
      <w:r w:rsidRPr="00D7468F">
        <w:rPr>
          <w:rFonts w:ascii="Sto TT" w:eastAsia="Verdana" w:hAnsi="Sto TT" w:cs="Arial"/>
          <w:sz w:val="18"/>
          <w:szCs w:val="18"/>
        </w:rPr>
        <w:t xml:space="preserve"> selon le produit et les conditions du chantier.</w:t>
      </w:r>
    </w:p>
    <w:p w14:paraId="422D7EB5" w14:textId="1F111EFD" w:rsidR="007412EC" w:rsidRPr="00D7468F" w:rsidRDefault="007412EC" w:rsidP="00A53FC9">
      <w:pPr>
        <w:pStyle w:val="Paragraphedeliste"/>
        <w:numPr>
          <w:ilvl w:val="0"/>
          <w:numId w:val="6"/>
        </w:numPr>
        <w:contextualSpacing w:val="0"/>
        <w:jc w:val="both"/>
        <w:rPr>
          <w:rFonts w:ascii="Sto TT" w:eastAsia="Verdana" w:hAnsi="Sto TT" w:cs="Arial"/>
          <w:sz w:val="18"/>
          <w:szCs w:val="18"/>
        </w:rPr>
      </w:pPr>
      <w:r w:rsidRPr="00D7468F">
        <w:rPr>
          <w:rFonts w:ascii="Sto TT" w:eastAsia="Verdana" w:hAnsi="Sto TT" w:cs="Arial"/>
          <w:sz w:val="18"/>
          <w:szCs w:val="18"/>
        </w:rPr>
        <w:t>Ces additifs permettent d’accélérer le séchage ou d’élargir la plage de mise en œuvre.</w:t>
      </w:r>
    </w:p>
    <w:p w14:paraId="6662BF84" w14:textId="77777777" w:rsidR="007412EC" w:rsidRPr="00D7468F" w:rsidRDefault="007412EC" w:rsidP="00A53FC9">
      <w:pPr>
        <w:pStyle w:val="Paragraphedeliste"/>
        <w:numPr>
          <w:ilvl w:val="0"/>
          <w:numId w:val="6"/>
        </w:numPr>
        <w:contextualSpacing w:val="0"/>
        <w:jc w:val="both"/>
        <w:rPr>
          <w:rFonts w:ascii="Sto TT" w:eastAsia="Verdana" w:hAnsi="Sto TT" w:cs="Arial"/>
          <w:sz w:val="18"/>
          <w:szCs w:val="18"/>
        </w:rPr>
      </w:pPr>
      <w:r w:rsidRPr="00D7468F">
        <w:rPr>
          <w:rFonts w:ascii="Sto TT" w:eastAsia="Verdana" w:hAnsi="Sto TT" w:cs="Arial"/>
          <w:b/>
          <w:bCs/>
          <w:sz w:val="18"/>
          <w:szCs w:val="18"/>
        </w:rPr>
        <w:t>Tenir compte du séchage en hiver</w:t>
      </w:r>
      <w:r w:rsidRPr="00D7468F">
        <w:rPr>
          <w:rFonts w:ascii="Sto TT" w:eastAsia="Verdana" w:hAnsi="Sto TT" w:cs="Arial"/>
          <w:sz w:val="18"/>
          <w:szCs w:val="18"/>
        </w:rPr>
        <w:t>, fortement influencé par les conditions climatiques (température, vent, humidité, pluie) et le support.</w:t>
      </w:r>
    </w:p>
    <w:p w14:paraId="755A1C04" w14:textId="77777777" w:rsidR="007412EC" w:rsidRPr="00D7468F" w:rsidRDefault="007412EC" w:rsidP="00A53FC9">
      <w:pPr>
        <w:pStyle w:val="Paragraphedeliste"/>
        <w:numPr>
          <w:ilvl w:val="0"/>
          <w:numId w:val="6"/>
        </w:numPr>
        <w:contextualSpacing w:val="0"/>
        <w:jc w:val="both"/>
        <w:rPr>
          <w:rFonts w:ascii="Sto TT" w:eastAsia="Verdana" w:hAnsi="Sto TT" w:cs="Arial"/>
          <w:sz w:val="18"/>
          <w:szCs w:val="18"/>
        </w:rPr>
      </w:pPr>
      <w:r w:rsidRPr="00D7468F">
        <w:rPr>
          <w:rFonts w:ascii="Sto TT" w:eastAsia="Verdana" w:hAnsi="Sto TT" w:cs="Arial"/>
          <w:b/>
          <w:bCs/>
          <w:sz w:val="18"/>
          <w:szCs w:val="18"/>
        </w:rPr>
        <w:t>Consulter les fiches techniques sur sto.fr</w:t>
      </w:r>
      <w:r w:rsidRPr="00D7468F">
        <w:rPr>
          <w:rFonts w:ascii="Sto TT" w:eastAsia="Verdana" w:hAnsi="Sto TT" w:cs="Arial"/>
          <w:sz w:val="18"/>
          <w:szCs w:val="18"/>
        </w:rPr>
        <w:t> pour vérifier la compatibilité des produits et additifs.</w:t>
      </w:r>
    </w:p>
    <w:p w14:paraId="1CF1C954" w14:textId="77777777" w:rsidR="007412EC" w:rsidRPr="00D7468F" w:rsidRDefault="007412EC" w:rsidP="00A53FC9">
      <w:pPr>
        <w:ind w:left="-709"/>
        <w:jc w:val="both"/>
        <w:rPr>
          <w:rFonts w:ascii="Sto TT" w:eastAsia="Verdana" w:hAnsi="Sto TT" w:cs="Arial"/>
          <w:sz w:val="18"/>
          <w:szCs w:val="18"/>
        </w:rPr>
      </w:pPr>
    </w:p>
    <w:p w14:paraId="6A680A6C" w14:textId="77777777" w:rsidR="007412EC" w:rsidRPr="00D7468F" w:rsidRDefault="007412EC" w:rsidP="00A53FC9">
      <w:pPr>
        <w:ind w:left="-709"/>
        <w:jc w:val="both"/>
        <w:rPr>
          <w:rFonts w:ascii="Sto TT" w:eastAsia="Verdana" w:hAnsi="Sto TT" w:cs="Arial"/>
          <w:b/>
          <w:bCs/>
          <w:sz w:val="18"/>
          <w:szCs w:val="18"/>
        </w:rPr>
      </w:pPr>
      <w:r w:rsidRPr="00D7468F">
        <w:rPr>
          <w:rFonts w:ascii="Sto TT" w:eastAsia="Verdana" w:hAnsi="Sto TT" w:cs="Arial"/>
          <w:b/>
          <w:bCs/>
          <w:sz w:val="18"/>
          <w:szCs w:val="18"/>
        </w:rPr>
        <w:t>Ne pas mélanger les produits hiver et standard sur une même façade : cela peut entraîner des différences de séchage et de teinte.</w:t>
      </w:r>
    </w:p>
    <w:p w14:paraId="314FC624" w14:textId="77777777" w:rsidR="00477D98" w:rsidRPr="00D7468F" w:rsidRDefault="00477D98" w:rsidP="00A53FC9">
      <w:pPr>
        <w:jc w:val="both"/>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DB28DA" w:rsidRPr="00D7468F" w14:paraId="65558D41" w14:textId="77777777" w:rsidTr="00CA2EEC">
        <w:trPr>
          <w:trHeight w:val="248"/>
        </w:trPr>
        <w:tc>
          <w:tcPr>
            <w:tcW w:w="10349" w:type="dxa"/>
          </w:tcPr>
          <w:p w14:paraId="1DAF3373" w14:textId="77777777" w:rsidR="00DB28DA" w:rsidRPr="00D7468F" w:rsidRDefault="00DB28DA" w:rsidP="00CA2EEC">
            <w:pPr>
              <w:jc w:val="center"/>
              <w:rPr>
                <w:rFonts w:ascii="Sto TT" w:eastAsia="Verdana" w:hAnsi="Sto TT" w:cs="Arial"/>
                <w:b/>
                <w:bCs/>
                <w:color w:val="2E74B5" w:themeColor="accent5" w:themeShade="BF"/>
                <w:sz w:val="22"/>
                <w:szCs w:val="22"/>
              </w:rPr>
            </w:pPr>
            <w:r w:rsidRPr="00D7468F">
              <w:rPr>
                <w:rFonts w:ascii="Sto TT" w:eastAsia="Verdana" w:hAnsi="Sto TT" w:cs="Arial"/>
                <w:b/>
                <w:bCs/>
                <w:color w:val="2E74B5" w:themeColor="accent5" w:themeShade="BF"/>
                <w:sz w:val="22"/>
                <w:szCs w:val="22"/>
              </w:rPr>
              <w:t>Traitement des parties semi-enterrées</w:t>
            </w:r>
          </w:p>
        </w:tc>
      </w:tr>
    </w:tbl>
    <w:p w14:paraId="1E18E596" w14:textId="77777777" w:rsidR="00DB28DA" w:rsidRPr="00D7468F" w:rsidRDefault="00DB28DA" w:rsidP="00DB28DA">
      <w:pPr>
        <w:ind w:left="-709" w:right="1"/>
        <w:rPr>
          <w:rFonts w:ascii="Sto TT" w:eastAsia="Verdana" w:hAnsi="Sto TT" w:cs="Arial"/>
          <w:b/>
          <w:bCs/>
          <w:sz w:val="18"/>
          <w:szCs w:val="18"/>
          <w:u w:val="single"/>
        </w:rPr>
      </w:pPr>
    </w:p>
    <w:p w14:paraId="690462E7" w14:textId="77777777" w:rsidR="00A53FC9" w:rsidRPr="00D7468F" w:rsidRDefault="00DB28DA" w:rsidP="00A53FC9">
      <w:pPr>
        <w:ind w:left="-709" w:right="1"/>
        <w:jc w:val="both"/>
        <w:rPr>
          <w:rFonts w:ascii="Sto TT" w:eastAsia="Verdana" w:hAnsi="Sto TT" w:cs="Arial"/>
          <w:b/>
          <w:bCs/>
          <w:sz w:val="18"/>
          <w:szCs w:val="18"/>
          <w:u w:val="single"/>
        </w:rPr>
      </w:pPr>
      <w:r w:rsidRPr="00D7468F">
        <w:rPr>
          <w:rFonts w:ascii="Sto TT" w:eastAsia="Verdana" w:hAnsi="Sto TT" w:cs="Arial"/>
          <w:b/>
          <w:bCs/>
          <w:sz w:val="18"/>
          <w:szCs w:val="18"/>
          <w:u w:val="single"/>
        </w:rPr>
        <w:t>Isolation des parties enterrées</w:t>
      </w:r>
    </w:p>
    <w:p w14:paraId="56E7D403" w14:textId="68532649" w:rsidR="00DB28DA" w:rsidRPr="00D7468F" w:rsidRDefault="00DB28DA" w:rsidP="00A53FC9">
      <w:pPr>
        <w:ind w:left="-709" w:right="1"/>
        <w:jc w:val="both"/>
        <w:rPr>
          <w:rFonts w:ascii="Sto TT" w:eastAsia="Verdana" w:hAnsi="Sto TT" w:cs="Arial"/>
          <w:sz w:val="18"/>
          <w:szCs w:val="18"/>
        </w:rPr>
      </w:pPr>
      <w:r w:rsidRPr="00D7468F">
        <w:rPr>
          <w:rFonts w:ascii="Sto TT" w:eastAsia="Verdana" w:hAnsi="Sto TT" w:cs="Arial"/>
          <w:sz w:val="18"/>
          <w:szCs w:val="18"/>
        </w:rPr>
        <w:t>L’isolation des parties semi-enterrées doit être réalisée conformément aux prescriptions du </w:t>
      </w:r>
      <w:r w:rsidRPr="00D7468F">
        <w:rPr>
          <w:rFonts w:ascii="Sto TT" w:eastAsia="Verdana" w:hAnsi="Sto TT" w:cs="Arial"/>
          <w:b/>
          <w:bCs/>
          <w:sz w:val="18"/>
          <w:szCs w:val="18"/>
        </w:rPr>
        <w:t>Cahier de Prescription Technique CPT 3842 – Juin 2025</w:t>
      </w:r>
      <w:r w:rsidRPr="00D7468F">
        <w:rPr>
          <w:rFonts w:ascii="Sto TT" w:eastAsia="Verdana" w:hAnsi="Sto TT" w:cs="Arial"/>
          <w:sz w:val="18"/>
          <w:szCs w:val="18"/>
        </w:rPr>
        <w:t>, publié par le CSTB. Ce document définit les exigences minimales applicables aux panneaux isolants en polystyrène expansé (PSE) utilisés dans les systèmes ETICS en zones enterrées ou semi-enterrées.</w:t>
      </w:r>
    </w:p>
    <w:p w14:paraId="16BD4F22" w14:textId="77777777" w:rsidR="00DB28DA" w:rsidRPr="00D7468F" w:rsidRDefault="00DB28DA" w:rsidP="00A53FC9">
      <w:pPr>
        <w:ind w:left="-709" w:right="1"/>
        <w:jc w:val="both"/>
        <w:rPr>
          <w:rFonts w:ascii="Sto TT" w:eastAsia="Verdana" w:hAnsi="Sto TT" w:cs="Arial"/>
          <w:sz w:val="18"/>
          <w:szCs w:val="18"/>
        </w:rPr>
      </w:pPr>
    </w:p>
    <w:p w14:paraId="77918F3C" w14:textId="77777777" w:rsidR="00DB28DA" w:rsidRPr="00D7468F" w:rsidRDefault="00DB28DA" w:rsidP="00A53FC9">
      <w:pPr>
        <w:ind w:left="-709" w:right="1"/>
        <w:jc w:val="both"/>
        <w:rPr>
          <w:rFonts w:ascii="Sto TT" w:eastAsia="Verdana" w:hAnsi="Sto TT" w:cs="Arial"/>
          <w:sz w:val="18"/>
          <w:szCs w:val="18"/>
        </w:rPr>
      </w:pPr>
      <w:r w:rsidRPr="00D7468F">
        <w:rPr>
          <w:rFonts w:ascii="Sto TT" w:eastAsia="Verdana" w:hAnsi="Sto TT" w:cs="Arial"/>
          <w:sz w:val="18"/>
          <w:szCs w:val="18"/>
        </w:rPr>
        <w:t xml:space="preserve">Avant la </w:t>
      </w:r>
      <w:proofErr w:type="spellStart"/>
      <w:r w:rsidRPr="00D7468F">
        <w:rPr>
          <w:rFonts w:ascii="Sto TT" w:eastAsia="Verdana" w:hAnsi="Sto TT" w:cs="Arial"/>
          <w:sz w:val="18"/>
          <w:szCs w:val="18"/>
        </w:rPr>
        <w:t>pose</w:t>
      </w:r>
      <w:proofErr w:type="spellEnd"/>
      <w:r w:rsidRPr="00D7468F">
        <w:rPr>
          <w:rFonts w:ascii="Sto TT" w:eastAsia="Verdana" w:hAnsi="Sto TT"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2630E05E" w14:textId="77777777" w:rsidR="00DB28DA" w:rsidRPr="00D7468F" w:rsidRDefault="00DB28DA" w:rsidP="00A53FC9">
      <w:pPr>
        <w:ind w:left="-709" w:right="1"/>
        <w:jc w:val="both"/>
        <w:rPr>
          <w:rFonts w:ascii="Sto TT" w:eastAsia="Verdana" w:hAnsi="Sto TT" w:cs="Arial"/>
          <w:sz w:val="18"/>
          <w:szCs w:val="18"/>
        </w:rPr>
      </w:pPr>
      <w:r w:rsidRPr="00D7468F">
        <w:rPr>
          <w:rFonts w:ascii="Sto TT" w:eastAsia="Verdana" w:hAnsi="Sto TT" w:cs="Arial"/>
          <w:sz w:val="18"/>
          <w:szCs w:val="18"/>
        </w:rPr>
        <w:t xml:space="preserve">Le Produit </w:t>
      </w:r>
      <w:r w:rsidRPr="00D7468F">
        <w:rPr>
          <w:rFonts w:ascii="Sto TT" w:eastAsia="Verdana" w:hAnsi="Sto TT" w:cs="Arial"/>
          <w:b/>
          <w:bCs/>
          <w:sz w:val="18"/>
          <w:szCs w:val="18"/>
        </w:rPr>
        <w:t>StoLevell SW</w:t>
      </w:r>
      <w:r w:rsidRPr="00D7468F">
        <w:rPr>
          <w:rFonts w:ascii="Sto TT" w:eastAsia="Verdana" w:hAnsi="Sto TT"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D7468F">
        <w:rPr>
          <w:rFonts w:ascii="Sto TT" w:eastAsia="Verdana" w:hAnsi="Sto TT" w:cs="Arial"/>
          <w:b/>
          <w:bCs/>
          <w:sz w:val="18"/>
          <w:szCs w:val="18"/>
        </w:rPr>
        <w:t xml:space="preserve">StoFlexyl + StoFlexyl Cement </w:t>
      </w:r>
      <w:r w:rsidRPr="00D7468F">
        <w:rPr>
          <w:rFonts w:ascii="Sto TT" w:eastAsia="Verdana" w:hAnsi="Sto TT" w:cs="Arial"/>
          <w:sz w:val="18"/>
          <w:szCs w:val="18"/>
        </w:rPr>
        <w:t xml:space="preserve">à la place du </w:t>
      </w:r>
      <w:r w:rsidRPr="00D7468F">
        <w:rPr>
          <w:rFonts w:ascii="Sto TT" w:eastAsia="Verdana" w:hAnsi="Sto TT" w:cs="Arial"/>
          <w:b/>
          <w:bCs/>
          <w:sz w:val="18"/>
          <w:szCs w:val="18"/>
        </w:rPr>
        <w:t>StoLevell SW Plus</w:t>
      </w:r>
    </w:p>
    <w:p w14:paraId="3C1C3B75" w14:textId="77777777" w:rsidR="00DB28DA" w:rsidRPr="00D7468F" w:rsidRDefault="00DB28DA" w:rsidP="00A53FC9">
      <w:pPr>
        <w:ind w:left="-709" w:right="1"/>
        <w:jc w:val="both"/>
        <w:rPr>
          <w:rFonts w:ascii="Sto TT" w:eastAsia="Verdana" w:hAnsi="Sto TT" w:cs="Arial"/>
          <w:sz w:val="18"/>
          <w:szCs w:val="18"/>
        </w:rPr>
      </w:pPr>
    </w:p>
    <w:p w14:paraId="2221D205" w14:textId="77777777" w:rsidR="00DB28DA" w:rsidRPr="00D7468F" w:rsidRDefault="00DB28DA" w:rsidP="00A53FC9">
      <w:pPr>
        <w:ind w:left="-709" w:right="1"/>
        <w:jc w:val="both"/>
        <w:rPr>
          <w:rFonts w:ascii="Sto TT" w:eastAsia="Verdana" w:hAnsi="Sto TT" w:cs="Arial"/>
          <w:sz w:val="18"/>
          <w:szCs w:val="18"/>
        </w:rPr>
      </w:pPr>
      <w:r w:rsidRPr="00D7468F">
        <w:rPr>
          <w:rFonts w:ascii="Sto TT" w:eastAsia="Verdana" w:hAnsi="Sto TT" w:cs="Arial"/>
          <w:sz w:val="18"/>
          <w:szCs w:val="18"/>
        </w:rPr>
        <w:t>Sur un support plan, sec, propre et porteur, on applique une couche préliminaire de </w:t>
      </w:r>
      <w:r w:rsidRPr="00D7468F">
        <w:rPr>
          <w:rFonts w:ascii="Sto TT" w:eastAsia="Verdana" w:hAnsi="Sto TT" w:cs="Arial"/>
          <w:b/>
          <w:bCs/>
          <w:sz w:val="18"/>
          <w:szCs w:val="18"/>
        </w:rPr>
        <w:t>StoLevell SW Plus</w:t>
      </w:r>
      <w:r w:rsidRPr="00D7468F">
        <w:rPr>
          <w:rFonts w:ascii="Sto TT" w:eastAsia="Verdana" w:hAnsi="Sto TT" w:cs="Arial"/>
          <w:sz w:val="18"/>
          <w:szCs w:val="18"/>
        </w:rPr>
        <w:t xml:space="preserve"> sur une hauteur de 1,20 m (dont 1 m en partie enterrée et 20 cm au-dessus du sol), à l’aide d’une taloche inox, à raison de 1 kg/m² environ. </w:t>
      </w:r>
    </w:p>
    <w:p w14:paraId="0682CD7B" w14:textId="77777777" w:rsidR="00DB28DA" w:rsidRPr="00D7468F" w:rsidRDefault="00DB28DA" w:rsidP="00A53FC9">
      <w:pPr>
        <w:ind w:left="-709" w:right="1"/>
        <w:jc w:val="both"/>
        <w:rPr>
          <w:rFonts w:ascii="Sto TT" w:eastAsia="Verdana" w:hAnsi="Sto TT" w:cs="Arial"/>
          <w:sz w:val="18"/>
          <w:szCs w:val="18"/>
        </w:rPr>
      </w:pPr>
    </w:p>
    <w:p w14:paraId="63119BFB" w14:textId="77777777" w:rsidR="00DB28DA" w:rsidRPr="00D7468F" w:rsidRDefault="00DB28DA" w:rsidP="00A53FC9">
      <w:pPr>
        <w:ind w:left="-709" w:right="1"/>
        <w:jc w:val="both"/>
        <w:rPr>
          <w:rFonts w:ascii="Sto TT" w:eastAsia="Verdana" w:hAnsi="Sto TT" w:cs="Arial"/>
          <w:sz w:val="18"/>
          <w:szCs w:val="18"/>
        </w:rPr>
      </w:pPr>
      <w:r w:rsidRPr="00D7468F">
        <w:rPr>
          <w:rFonts w:ascii="Sto TT" w:eastAsia="Verdana" w:hAnsi="Sto TT" w:cs="Arial"/>
          <w:sz w:val="18"/>
          <w:szCs w:val="18"/>
        </w:rPr>
        <w:t>Sur cette couche d’impression, une bande de </w:t>
      </w:r>
      <w:r w:rsidRPr="00D7468F">
        <w:rPr>
          <w:rFonts w:ascii="Sto TT" w:eastAsia="Verdana" w:hAnsi="Sto TT" w:cs="Arial"/>
          <w:b/>
          <w:bCs/>
          <w:sz w:val="18"/>
          <w:szCs w:val="18"/>
        </w:rPr>
        <w:t>StoFibre de Verre Standard</w:t>
      </w:r>
      <w:r w:rsidRPr="00D7468F">
        <w:rPr>
          <w:rFonts w:ascii="Sto TT" w:eastAsia="Verdana" w:hAnsi="Sto TT" w:cs="Arial"/>
          <w:sz w:val="18"/>
          <w:szCs w:val="18"/>
        </w:rPr>
        <w:t> est collée sur 20 cm à partir du point le plus bas de l’isolant enterré, en la laissant en attente pour un retour sur la face extérieure du panneau isolant (</w:t>
      </w:r>
      <w:r w:rsidRPr="00D7468F">
        <w:rPr>
          <w:rFonts w:ascii="Sto TT" w:eastAsia="Verdana" w:hAnsi="Sto TT" w:cs="Arial"/>
          <w:b/>
          <w:bCs/>
          <w:sz w:val="18"/>
          <w:szCs w:val="18"/>
        </w:rPr>
        <w:t>Sto-Panneau Isolant Top 31</w:t>
      </w:r>
      <w:r w:rsidRPr="00D7468F">
        <w:rPr>
          <w:rFonts w:ascii="Sto TT" w:eastAsia="Verdana" w:hAnsi="Sto TT" w:cs="Arial"/>
          <w:sz w:val="18"/>
          <w:szCs w:val="18"/>
        </w:rPr>
        <w:t> ou </w:t>
      </w:r>
      <w:r w:rsidRPr="00D7468F">
        <w:rPr>
          <w:rFonts w:ascii="Sto TT" w:eastAsia="Verdana" w:hAnsi="Sto TT" w:cs="Arial"/>
          <w:b/>
          <w:bCs/>
          <w:sz w:val="18"/>
          <w:szCs w:val="18"/>
        </w:rPr>
        <w:t>Sto-Panneau Polystyrène PS 15 SE</w:t>
      </w:r>
      <w:r w:rsidRPr="00D7468F">
        <w:rPr>
          <w:rFonts w:ascii="Sto TT" w:eastAsia="Verdana" w:hAnsi="Sto TT" w:cs="Arial"/>
          <w:sz w:val="18"/>
          <w:szCs w:val="18"/>
        </w:rPr>
        <w:t>).</w:t>
      </w:r>
    </w:p>
    <w:p w14:paraId="3599E425" w14:textId="77777777" w:rsidR="00DB28DA" w:rsidRPr="00D7468F" w:rsidRDefault="00DB28DA" w:rsidP="00A53FC9">
      <w:pPr>
        <w:ind w:left="-709" w:right="1"/>
        <w:jc w:val="both"/>
        <w:rPr>
          <w:rFonts w:ascii="Sto TT" w:eastAsia="Verdana" w:hAnsi="Sto TT" w:cs="Arial"/>
          <w:sz w:val="18"/>
          <w:szCs w:val="18"/>
        </w:rPr>
      </w:pPr>
    </w:p>
    <w:p w14:paraId="6BD231DC" w14:textId="77777777" w:rsidR="00DB28DA" w:rsidRPr="00D7468F" w:rsidRDefault="00DB28DA" w:rsidP="00A53FC9">
      <w:pPr>
        <w:ind w:left="-709" w:right="1"/>
        <w:jc w:val="both"/>
        <w:rPr>
          <w:rFonts w:ascii="Sto TT" w:eastAsia="Verdana" w:hAnsi="Sto TT" w:cs="Arial"/>
          <w:sz w:val="18"/>
          <w:szCs w:val="18"/>
        </w:rPr>
      </w:pPr>
      <w:r w:rsidRPr="00D7468F">
        <w:rPr>
          <w:rFonts w:ascii="Sto TT" w:eastAsia="Verdana" w:hAnsi="Sto TT" w:cs="Arial"/>
          <w:sz w:val="18"/>
          <w:szCs w:val="18"/>
        </w:rPr>
        <w:t>Une fois la première couche sèche, une seconde couche de </w:t>
      </w:r>
      <w:r w:rsidRPr="00D7468F">
        <w:rPr>
          <w:rFonts w:ascii="Sto TT" w:eastAsia="Verdana" w:hAnsi="Sto TT" w:cs="Arial"/>
          <w:b/>
          <w:bCs/>
          <w:sz w:val="18"/>
          <w:szCs w:val="18"/>
        </w:rPr>
        <w:t>StoLevell SW Plus</w:t>
      </w:r>
      <w:r w:rsidRPr="00D7468F">
        <w:rPr>
          <w:rFonts w:ascii="Sto TT" w:eastAsia="Verdana" w:hAnsi="Sto TT" w:cs="Arial"/>
          <w:sz w:val="18"/>
          <w:szCs w:val="18"/>
        </w:rPr>
        <w:t> est appliquée à la taloche, à raison de 2,5 kg/m², en rendant la surface rugueuse. Les panneaux isolants, d’une épaisseur comprise entre 20 et 300 mm, sont découpés à 45° à l’aide de la machine </w:t>
      </w:r>
      <w:r w:rsidRPr="00D7468F">
        <w:rPr>
          <w:rFonts w:ascii="Sto TT" w:eastAsia="Verdana" w:hAnsi="Sto TT" w:cs="Arial"/>
          <w:b/>
          <w:bCs/>
          <w:sz w:val="18"/>
          <w:szCs w:val="18"/>
        </w:rPr>
        <w:t>Sto-Fil Chaud</w:t>
      </w:r>
      <w:r w:rsidRPr="00D7468F">
        <w:rPr>
          <w:rFonts w:ascii="Sto TT" w:eastAsia="Verdana" w:hAnsi="Sto TT" w:cs="Arial"/>
          <w:sz w:val="18"/>
          <w:szCs w:val="18"/>
        </w:rPr>
        <w:t>, puis encollés en plein avec </w:t>
      </w:r>
      <w:r w:rsidRPr="00D7468F">
        <w:rPr>
          <w:rFonts w:ascii="Sto TT" w:eastAsia="Verdana" w:hAnsi="Sto TT" w:cs="Arial"/>
          <w:b/>
          <w:bCs/>
          <w:sz w:val="18"/>
          <w:szCs w:val="18"/>
        </w:rPr>
        <w:t>StoLevell SW Plus</w:t>
      </w:r>
      <w:r w:rsidRPr="00D7468F">
        <w:rPr>
          <w:rFonts w:ascii="Sto TT" w:eastAsia="Verdana" w:hAnsi="Sto TT" w:cs="Arial"/>
          <w:sz w:val="18"/>
          <w:szCs w:val="18"/>
        </w:rPr>
        <w:t> (4 kg/m²) avant d’être pressés sur le support, avec des joints parfaitement serrés.</w:t>
      </w:r>
    </w:p>
    <w:p w14:paraId="79CFBDA1" w14:textId="77777777" w:rsidR="00DB28DA" w:rsidRPr="00D7468F" w:rsidRDefault="00DB28DA" w:rsidP="00A53FC9">
      <w:pPr>
        <w:ind w:left="-709" w:right="1"/>
        <w:jc w:val="both"/>
        <w:rPr>
          <w:rFonts w:ascii="Sto TT" w:eastAsia="Verdana" w:hAnsi="Sto TT" w:cs="Arial"/>
          <w:sz w:val="18"/>
          <w:szCs w:val="18"/>
        </w:rPr>
      </w:pPr>
    </w:p>
    <w:p w14:paraId="31AABB4E" w14:textId="77777777" w:rsidR="00DB28DA" w:rsidRPr="00D7468F" w:rsidRDefault="00DB28DA" w:rsidP="00A53FC9">
      <w:pPr>
        <w:ind w:left="-709" w:right="1"/>
        <w:jc w:val="both"/>
        <w:rPr>
          <w:rFonts w:ascii="Sto TT" w:eastAsia="Verdana" w:hAnsi="Sto TT" w:cs="Arial"/>
          <w:sz w:val="18"/>
          <w:szCs w:val="18"/>
        </w:rPr>
      </w:pPr>
      <w:r w:rsidRPr="00D7468F">
        <w:rPr>
          <w:rFonts w:ascii="Sto TT" w:eastAsia="Verdana" w:hAnsi="Sto TT" w:cs="Arial"/>
          <w:sz w:val="18"/>
          <w:szCs w:val="18"/>
        </w:rPr>
        <w:t>La fibre de verre laissée en attente est ensuite repliée sur la face extérieure du polystyrène et marouflée dans </w:t>
      </w:r>
      <w:r w:rsidRPr="00D7468F">
        <w:rPr>
          <w:rFonts w:ascii="Sto TT" w:eastAsia="Verdana" w:hAnsi="Sto TT" w:cs="Arial"/>
          <w:b/>
          <w:bCs/>
          <w:sz w:val="18"/>
          <w:szCs w:val="18"/>
        </w:rPr>
        <w:t>StoLevell SW Plus</w:t>
      </w:r>
      <w:r w:rsidRPr="00D7468F">
        <w:rPr>
          <w:rFonts w:ascii="Sto TT" w:eastAsia="Verdana" w:hAnsi="Sto TT" w:cs="Arial"/>
          <w:sz w:val="18"/>
          <w:szCs w:val="18"/>
        </w:rPr>
        <w:t>. Une </w:t>
      </w:r>
      <w:r w:rsidRPr="00D7468F">
        <w:rPr>
          <w:rFonts w:ascii="Sto TT" w:eastAsia="Verdana" w:hAnsi="Sto TT" w:cs="Arial"/>
          <w:b/>
          <w:bCs/>
          <w:sz w:val="18"/>
          <w:szCs w:val="18"/>
        </w:rPr>
        <w:t>protection mécanique</w:t>
      </w:r>
      <w:r w:rsidRPr="00D7468F">
        <w:rPr>
          <w:rFonts w:ascii="Sto TT" w:eastAsia="Verdana" w:hAnsi="Sto TT" w:cs="Arial"/>
          <w:sz w:val="18"/>
          <w:szCs w:val="18"/>
        </w:rPr>
        <w:t> est obligatoire pour sécuriser la partie enterrée.</w:t>
      </w:r>
    </w:p>
    <w:p w14:paraId="7DE075E0" w14:textId="77777777" w:rsidR="00DB28DA" w:rsidRPr="00D7468F" w:rsidRDefault="00DB28DA" w:rsidP="00A53FC9">
      <w:pPr>
        <w:ind w:left="-709" w:right="1"/>
        <w:jc w:val="both"/>
        <w:rPr>
          <w:rFonts w:ascii="Sto TT" w:eastAsia="Verdana" w:hAnsi="Sto TT" w:cs="Arial"/>
          <w:sz w:val="18"/>
          <w:szCs w:val="18"/>
        </w:rPr>
      </w:pPr>
    </w:p>
    <w:p w14:paraId="27170AB6" w14:textId="44610DA2" w:rsidR="00DB28DA" w:rsidRPr="00D7468F" w:rsidRDefault="00DB28DA" w:rsidP="00A53FC9">
      <w:pPr>
        <w:ind w:left="-709" w:right="1"/>
        <w:jc w:val="both"/>
        <w:rPr>
          <w:rFonts w:ascii="Sto TT" w:eastAsia="Verdana" w:hAnsi="Sto TT" w:cs="Arial"/>
          <w:sz w:val="18"/>
          <w:szCs w:val="18"/>
        </w:rPr>
      </w:pPr>
      <w:r w:rsidRPr="00D7468F">
        <w:rPr>
          <w:rFonts w:ascii="Sto TT" w:eastAsia="Verdana" w:hAnsi="Sto TT" w:cs="Arial"/>
          <w:sz w:val="18"/>
          <w:szCs w:val="18"/>
        </w:rPr>
        <w:t xml:space="preserve">Pour le socle de départ, situé à </w:t>
      </w:r>
      <w:r w:rsidRPr="00D7468F">
        <w:rPr>
          <w:rFonts w:ascii="Sto TT" w:eastAsia="Verdana" w:hAnsi="Sto TT" w:cs="Arial"/>
          <w:b/>
          <w:bCs/>
          <w:sz w:val="18"/>
          <w:szCs w:val="18"/>
          <w:u w:val="single"/>
        </w:rPr>
        <w:t>20 cm</w:t>
      </w:r>
      <w:r w:rsidRPr="00D7468F">
        <w:rPr>
          <w:rFonts w:ascii="Sto TT" w:eastAsia="Verdana" w:hAnsi="Sto TT" w:cs="Arial"/>
          <w:sz w:val="18"/>
          <w:szCs w:val="18"/>
        </w:rPr>
        <w:t xml:space="preserve"> au-dessus du sol, on maroufle </w:t>
      </w:r>
      <w:r w:rsidRPr="00D7468F">
        <w:rPr>
          <w:rFonts w:ascii="Sto TT" w:eastAsia="Verdana" w:hAnsi="Sto TT" w:cs="Arial"/>
          <w:b/>
          <w:bCs/>
          <w:sz w:val="18"/>
          <w:szCs w:val="18"/>
        </w:rPr>
        <w:t>StoLevell SW Plus</w:t>
      </w:r>
      <w:r w:rsidRPr="00D7468F">
        <w:rPr>
          <w:rFonts w:ascii="Sto TT" w:eastAsia="Verdana" w:hAnsi="Sto TT" w:cs="Arial"/>
          <w:sz w:val="18"/>
          <w:szCs w:val="18"/>
        </w:rPr>
        <w:t> jusqu’au </w:t>
      </w:r>
      <w:r w:rsidRPr="00D7468F">
        <w:rPr>
          <w:rFonts w:ascii="Sto TT" w:eastAsia="Verdana" w:hAnsi="Sto TT" w:cs="Arial"/>
          <w:b/>
          <w:bCs/>
          <w:sz w:val="18"/>
          <w:szCs w:val="18"/>
        </w:rPr>
        <w:t>Sto-Profil de départ S12</w:t>
      </w:r>
      <w:r w:rsidRPr="00D7468F">
        <w:rPr>
          <w:rFonts w:ascii="Sto TT" w:eastAsia="Verdana" w:hAnsi="Sto TT" w:cs="Arial"/>
          <w:sz w:val="18"/>
          <w:szCs w:val="18"/>
        </w:rPr>
        <w:t>, du </w:t>
      </w:r>
      <w:r w:rsidRPr="00D7468F">
        <w:rPr>
          <w:rFonts w:ascii="Sto TT" w:eastAsia="Verdana" w:hAnsi="Sto TT" w:cs="Arial"/>
          <w:b/>
          <w:bCs/>
          <w:sz w:val="18"/>
          <w:szCs w:val="18"/>
        </w:rPr>
        <w:t>StoProfile Start ST</w:t>
      </w:r>
      <w:r w:rsidRPr="00D7468F">
        <w:rPr>
          <w:rFonts w:ascii="Sto TT" w:eastAsia="Verdana" w:hAnsi="Sto TT" w:cs="Arial"/>
          <w:sz w:val="18"/>
          <w:szCs w:val="18"/>
        </w:rPr>
        <w:t>, puis on positionne </w:t>
      </w:r>
      <w:r w:rsidRPr="00D7468F">
        <w:rPr>
          <w:rFonts w:ascii="Sto TT" w:eastAsia="Verdana" w:hAnsi="Sto TT" w:cs="Arial"/>
          <w:b/>
          <w:bCs/>
          <w:sz w:val="18"/>
          <w:szCs w:val="18"/>
        </w:rPr>
        <w:t>Sto-Compribande</w:t>
      </w:r>
      <w:r w:rsidRPr="00D7468F">
        <w:rPr>
          <w:rFonts w:ascii="Sto TT" w:eastAsia="Verdana" w:hAnsi="Sto TT" w:cs="Arial"/>
          <w:sz w:val="18"/>
          <w:szCs w:val="18"/>
        </w:rPr>
        <w:t> en raccordement sous le profil.</w:t>
      </w:r>
    </w:p>
    <w:p w14:paraId="3A02B72B" w14:textId="77777777" w:rsidR="00DB28DA" w:rsidRPr="00D7468F" w:rsidRDefault="00DB28DA" w:rsidP="00A53FC9">
      <w:pPr>
        <w:ind w:left="-709" w:right="1"/>
        <w:jc w:val="both"/>
        <w:rPr>
          <w:rFonts w:ascii="Sto TT" w:eastAsia="Verdana" w:hAnsi="Sto TT" w:cs="Arial"/>
          <w:sz w:val="18"/>
          <w:szCs w:val="18"/>
        </w:rPr>
      </w:pPr>
    </w:p>
    <w:p w14:paraId="1539B84D" w14:textId="77777777" w:rsidR="00DB28DA" w:rsidRPr="00D7468F" w:rsidRDefault="00DB28DA" w:rsidP="00A53FC9">
      <w:pPr>
        <w:ind w:left="-709" w:right="1"/>
        <w:jc w:val="both"/>
        <w:rPr>
          <w:rFonts w:ascii="Sto TT" w:eastAsia="Verdana" w:hAnsi="Sto TT" w:cs="Arial"/>
          <w:sz w:val="18"/>
          <w:szCs w:val="18"/>
        </w:rPr>
      </w:pPr>
      <w:r w:rsidRPr="00D7468F">
        <w:rPr>
          <w:rFonts w:ascii="Sto TT" w:eastAsia="Verdana" w:hAnsi="Sto TT" w:cs="Arial"/>
          <w:sz w:val="18"/>
          <w:szCs w:val="18"/>
        </w:rPr>
        <w:t>Enfin, un </w:t>
      </w:r>
      <w:r w:rsidRPr="00D7468F">
        <w:rPr>
          <w:rFonts w:ascii="Sto TT" w:eastAsia="Verdana" w:hAnsi="Sto TT" w:cs="Arial"/>
          <w:b/>
          <w:bCs/>
          <w:sz w:val="18"/>
          <w:szCs w:val="18"/>
        </w:rPr>
        <w:t>film à picots</w:t>
      </w:r>
      <w:r w:rsidRPr="00D7468F">
        <w:rPr>
          <w:rFonts w:ascii="Sto TT" w:eastAsia="Verdana" w:hAnsi="Sto TT" w:cs="Arial"/>
          <w:sz w:val="18"/>
          <w:szCs w:val="18"/>
        </w:rPr>
        <w:t> est prévu comme protection mécanique de la partie enterrée. Pour assurer l’esthétique du soubassement, il est possible d’appliquer un revêtement de finition mince tel que </w:t>
      </w:r>
      <w:r w:rsidRPr="00D7468F">
        <w:rPr>
          <w:rFonts w:ascii="Sto TT" w:eastAsia="Verdana" w:hAnsi="Sto TT" w:cs="Arial"/>
          <w:b/>
          <w:bCs/>
          <w:sz w:val="18"/>
          <w:szCs w:val="18"/>
        </w:rPr>
        <w:t>StoColor Silco</w:t>
      </w:r>
      <w:r w:rsidRPr="00D7468F">
        <w:rPr>
          <w:rFonts w:ascii="Sto TT" w:eastAsia="Verdana" w:hAnsi="Sto TT" w:cs="Arial"/>
          <w:sz w:val="18"/>
          <w:szCs w:val="18"/>
        </w:rPr>
        <w:t>, </w:t>
      </w:r>
      <w:r w:rsidRPr="00D7468F">
        <w:rPr>
          <w:rFonts w:ascii="Sto TT" w:eastAsia="Verdana" w:hAnsi="Sto TT" w:cs="Arial"/>
          <w:b/>
          <w:bCs/>
          <w:sz w:val="18"/>
          <w:szCs w:val="18"/>
        </w:rPr>
        <w:t>Silco G</w:t>
      </w:r>
      <w:r w:rsidRPr="00D7468F">
        <w:rPr>
          <w:rFonts w:ascii="Sto TT" w:eastAsia="Verdana" w:hAnsi="Sto TT" w:cs="Arial"/>
          <w:sz w:val="18"/>
          <w:szCs w:val="18"/>
        </w:rPr>
        <w:t>, </w:t>
      </w:r>
      <w:r w:rsidRPr="00D7468F">
        <w:rPr>
          <w:rFonts w:ascii="Sto TT" w:eastAsia="Verdana" w:hAnsi="Sto TT" w:cs="Arial"/>
          <w:b/>
          <w:bCs/>
          <w:sz w:val="18"/>
          <w:szCs w:val="18"/>
        </w:rPr>
        <w:t>Jumbosil</w:t>
      </w:r>
      <w:r w:rsidRPr="00D7468F">
        <w:rPr>
          <w:rFonts w:ascii="Sto TT" w:eastAsia="Verdana" w:hAnsi="Sto TT" w:cs="Arial"/>
          <w:sz w:val="18"/>
          <w:szCs w:val="18"/>
        </w:rPr>
        <w:t>, </w:t>
      </w:r>
      <w:r w:rsidRPr="00D7468F">
        <w:rPr>
          <w:rFonts w:ascii="Sto TT" w:eastAsia="Verdana" w:hAnsi="Sto TT" w:cs="Arial"/>
          <w:b/>
          <w:bCs/>
          <w:sz w:val="18"/>
          <w:szCs w:val="18"/>
        </w:rPr>
        <w:t>Lotusan</w:t>
      </w:r>
      <w:r w:rsidRPr="00D7468F">
        <w:rPr>
          <w:rFonts w:ascii="Sto TT" w:eastAsia="Verdana" w:hAnsi="Sto TT" w:cs="Arial"/>
          <w:sz w:val="18"/>
          <w:szCs w:val="18"/>
        </w:rPr>
        <w:t> ou </w:t>
      </w:r>
      <w:r w:rsidRPr="00D7468F">
        <w:rPr>
          <w:rFonts w:ascii="Sto TT" w:eastAsia="Verdana" w:hAnsi="Sto TT" w:cs="Arial"/>
          <w:b/>
          <w:bCs/>
          <w:sz w:val="18"/>
          <w:szCs w:val="18"/>
        </w:rPr>
        <w:t>Lotusan G</w:t>
      </w:r>
      <w:r w:rsidRPr="00D7468F">
        <w:rPr>
          <w:rFonts w:ascii="Sto TT" w:eastAsia="Verdana" w:hAnsi="Sto TT" w:cs="Arial"/>
          <w:sz w:val="18"/>
          <w:szCs w:val="18"/>
        </w:rPr>
        <w:t>.</w:t>
      </w:r>
    </w:p>
    <w:p w14:paraId="626026FB" w14:textId="77777777" w:rsidR="00DB28DA" w:rsidRPr="00D7468F" w:rsidRDefault="00DB28DA" w:rsidP="00DB28DA">
      <w:pPr>
        <w:ind w:left="-709" w:right="1"/>
        <w:jc w:val="center"/>
        <w:rPr>
          <w:rFonts w:ascii="Sto TT" w:eastAsia="Verdana" w:hAnsi="Sto TT" w:cs="Arial"/>
          <w:b/>
          <w:bCs/>
          <w:sz w:val="18"/>
          <w:szCs w:val="18"/>
          <w:u w:val="single"/>
        </w:rPr>
      </w:pPr>
    </w:p>
    <w:p w14:paraId="0E00DA7E" w14:textId="4E0A601F" w:rsidR="008579EE" w:rsidRPr="00D7468F" w:rsidRDefault="008579EE" w:rsidP="00DB28DA">
      <w:pPr>
        <w:ind w:left="-709" w:right="1"/>
        <w:jc w:val="center"/>
        <w:rPr>
          <w:rFonts w:ascii="Sto TT" w:eastAsia="Verdana" w:hAnsi="Sto TT" w:cs="Arial"/>
          <w:b/>
          <w:bCs/>
          <w:sz w:val="18"/>
          <w:szCs w:val="18"/>
          <w:u w:val="single"/>
        </w:rPr>
      </w:pPr>
      <w:r w:rsidRPr="00D7468F">
        <w:rPr>
          <w:rFonts w:ascii="Sto TT" w:eastAsia="Verdana" w:hAnsi="Sto TT" w:cs="Arial"/>
          <w:b/>
          <w:bCs/>
          <w:noProof/>
          <w:sz w:val="18"/>
          <w:szCs w:val="18"/>
          <w:u w:val="single"/>
        </w:rPr>
        <w:lastRenderedPageBreak/>
        <w:drawing>
          <wp:inline distT="0" distB="0" distL="0" distR="0" wp14:anchorId="7F1664B8" wp14:editId="40385A10">
            <wp:extent cx="6368994" cy="2770909"/>
            <wp:effectExtent l="0" t="0" r="0" b="0"/>
            <wp:docPr id="721829108" name="Image 1" descr="Une image contenant texte, capture d’écran,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29108" name="Image 1" descr="Une image contenant texte, capture d’écran, diagramme, ligne&#10;&#10;Le contenu généré par l’IA peut être incorrect."/>
                    <pic:cNvPicPr/>
                  </pic:nvPicPr>
                  <pic:blipFill>
                    <a:blip r:embed="rId12"/>
                    <a:stretch>
                      <a:fillRect/>
                    </a:stretch>
                  </pic:blipFill>
                  <pic:spPr>
                    <a:xfrm>
                      <a:off x="0" y="0"/>
                      <a:ext cx="6368994" cy="2770909"/>
                    </a:xfrm>
                    <a:prstGeom prst="rect">
                      <a:avLst/>
                    </a:prstGeom>
                  </pic:spPr>
                </pic:pic>
              </a:graphicData>
            </a:graphic>
          </wp:inline>
        </w:drawing>
      </w:r>
    </w:p>
    <w:p w14:paraId="49EE163D" w14:textId="77777777" w:rsidR="001004DC" w:rsidRPr="00D7468F" w:rsidRDefault="001004DC" w:rsidP="00DB28DA">
      <w:pPr>
        <w:ind w:left="-709" w:right="1"/>
        <w:jc w:val="center"/>
        <w:rPr>
          <w:rFonts w:ascii="Sto TT" w:eastAsia="Verdana" w:hAnsi="Sto TT" w:cs="Arial"/>
          <w:b/>
          <w:bCs/>
          <w:sz w:val="18"/>
          <w:szCs w:val="18"/>
          <w:u w:val="single"/>
        </w:rPr>
      </w:pPr>
    </w:p>
    <w:p w14:paraId="19B15F30" w14:textId="77777777" w:rsidR="00A53FC9" w:rsidRPr="00D7468F" w:rsidRDefault="00A53FC9" w:rsidP="00DB28DA">
      <w:pPr>
        <w:ind w:left="-709" w:right="1"/>
        <w:jc w:val="center"/>
        <w:rPr>
          <w:rFonts w:ascii="Sto TT" w:eastAsia="Verdana" w:hAnsi="Sto TT" w:cs="Arial"/>
          <w:b/>
          <w:bCs/>
          <w:sz w:val="18"/>
          <w:szCs w:val="18"/>
          <w:u w:val="single"/>
        </w:rPr>
      </w:pPr>
    </w:p>
    <w:p w14:paraId="727B53DD" w14:textId="77777777" w:rsidR="001004DC" w:rsidRPr="00D7468F" w:rsidRDefault="001004DC" w:rsidP="00DB28DA">
      <w:pPr>
        <w:ind w:left="-709" w:right="1"/>
        <w:jc w:val="center"/>
        <w:rPr>
          <w:rFonts w:ascii="Sto TT" w:eastAsia="Verdana" w:hAnsi="Sto TT" w:cs="Arial"/>
          <w:b/>
          <w:bCs/>
          <w:sz w:val="18"/>
          <w:szCs w:val="18"/>
          <w:u w:val="single"/>
        </w:rPr>
      </w:pPr>
    </w:p>
    <w:p w14:paraId="24C7497B" w14:textId="77777777" w:rsidR="001004DC" w:rsidRPr="00D7468F" w:rsidRDefault="001004DC" w:rsidP="001004DC">
      <w:pPr>
        <w:ind w:left="-709" w:right="1"/>
        <w:jc w:val="center"/>
        <w:rPr>
          <w:rFonts w:ascii="Sto TT" w:eastAsia="Verdana" w:hAnsi="Sto TT" w:cs="Arial"/>
          <w:b/>
          <w:bCs/>
          <w:sz w:val="18"/>
          <w:szCs w:val="18"/>
          <w:u w:val="single"/>
        </w:rPr>
      </w:pPr>
      <w:r w:rsidRPr="00D7468F">
        <w:rPr>
          <w:rFonts w:ascii="Sto TT" w:eastAsia="Verdana" w:hAnsi="Sto TT" w:cs="Arial"/>
          <w:b/>
          <w:bCs/>
          <w:sz w:val="18"/>
          <w:szCs w:val="18"/>
          <w:u w:val="single"/>
        </w:rPr>
        <w:t>Schéma traitement des parties enterrée</w:t>
      </w:r>
    </w:p>
    <w:p w14:paraId="70D48A37" w14:textId="77777777" w:rsidR="001004DC" w:rsidRPr="00D7468F" w:rsidRDefault="001004DC" w:rsidP="001004DC">
      <w:pPr>
        <w:ind w:left="-709" w:right="1"/>
        <w:rPr>
          <w:rFonts w:ascii="Sto TT" w:eastAsia="Verdana" w:hAnsi="Sto TT" w:cs="Arial"/>
          <w:b/>
          <w:bCs/>
          <w:sz w:val="18"/>
          <w:szCs w:val="18"/>
          <w:u w:val="single"/>
        </w:rPr>
      </w:pPr>
    </w:p>
    <w:p w14:paraId="0F451596" w14:textId="10DC7E0A" w:rsidR="00DB28DA" w:rsidRPr="00D7468F" w:rsidRDefault="00D10BD4" w:rsidP="00DB28DA">
      <w:pPr>
        <w:ind w:left="-709" w:right="1"/>
        <w:jc w:val="center"/>
        <w:rPr>
          <w:rFonts w:ascii="Sto TT" w:eastAsia="Verdana" w:hAnsi="Sto TT" w:cs="Arial"/>
          <w:sz w:val="18"/>
          <w:szCs w:val="18"/>
        </w:rPr>
      </w:pPr>
      <w:r w:rsidRPr="00D7468F">
        <w:rPr>
          <w:rFonts w:ascii="Sto TT" w:eastAsia="Verdana" w:hAnsi="Sto TT" w:cs="Arial"/>
          <w:noProof/>
          <w:sz w:val="18"/>
          <w:szCs w:val="18"/>
        </w:rPr>
        <w:drawing>
          <wp:inline distT="0" distB="0" distL="0" distR="0" wp14:anchorId="75DC0A0A" wp14:editId="0E2D78D1">
            <wp:extent cx="4038600" cy="4667992"/>
            <wp:effectExtent l="0" t="0" r="0" b="0"/>
            <wp:docPr id="4453726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72690" name=""/>
                    <pic:cNvPicPr/>
                  </pic:nvPicPr>
                  <pic:blipFill>
                    <a:blip r:embed="rId13"/>
                    <a:stretch>
                      <a:fillRect/>
                    </a:stretch>
                  </pic:blipFill>
                  <pic:spPr>
                    <a:xfrm>
                      <a:off x="0" y="0"/>
                      <a:ext cx="4043720" cy="4673910"/>
                    </a:xfrm>
                    <a:prstGeom prst="rect">
                      <a:avLst/>
                    </a:prstGeom>
                  </pic:spPr>
                </pic:pic>
              </a:graphicData>
            </a:graphic>
          </wp:inline>
        </w:drawing>
      </w:r>
    </w:p>
    <w:p w14:paraId="6D59FDFA" w14:textId="27372728" w:rsidR="007E49DA" w:rsidRDefault="007E49DA">
      <w:pPr>
        <w:spacing w:after="160" w:line="278" w:lineRule="auto"/>
        <w:rPr>
          <w:rFonts w:ascii="Sto TT" w:eastAsia="Verdana" w:hAnsi="Sto TT" w:cs="Arial"/>
          <w:sz w:val="18"/>
          <w:szCs w:val="18"/>
        </w:rPr>
      </w:pPr>
      <w:r>
        <w:rPr>
          <w:rFonts w:ascii="Sto TT" w:eastAsia="Verdana" w:hAnsi="Sto TT" w:cs="Arial"/>
          <w:sz w:val="18"/>
          <w:szCs w:val="18"/>
        </w:rPr>
        <w:br w:type="page"/>
      </w:r>
    </w:p>
    <w:tbl>
      <w:tblPr>
        <w:tblStyle w:val="Grilledutableau"/>
        <w:tblW w:w="0" w:type="auto"/>
        <w:tblInd w:w="-762" w:type="dxa"/>
        <w:tblLook w:val="04A0" w:firstRow="1" w:lastRow="0" w:firstColumn="1" w:lastColumn="0" w:noHBand="0" w:noVBand="1"/>
      </w:tblPr>
      <w:tblGrid>
        <w:gridCol w:w="10349"/>
      </w:tblGrid>
      <w:tr w:rsidR="0017434C" w:rsidRPr="00D7468F" w14:paraId="4B42A28C" w14:textId="77777777" w:rsidTr="00E80E5E">
        <w:trPr>
          <w:trHeight w:val="248"/>
        </w:trPr>
        <w:tc>
          <w:tcPr>
            <w:tcW w:w="10349" w:type="dxa"/>
          </w:tcPr>
          <w:p w14:paraId="710AED68" w14:textId="77777777" w:rsidR="0017434C" w:rsidRPr="00D7468F" w:rsidRDefault="0017434C" w:rsidP="00E80E5E">
            <w:pPr>
              <w:jc w:val="center"/>
              <w:rPr>
                <w:rFonts w:ascii="Sto TT" w:eastAsia="Verdana" w:hAnsi="Sto TT" w:cs="Arial"/>
                <w:b/>
                <w:bCs/>
                <w:color w:val="2E74B5" w:themeColor="accent5" w:themeShade="BF"/>
                <w:sz w:val="22"/>
                <w:szCs w:val="22"/>
              </w:rPr>
            </w:pPr>
            <w:r w:rsidRPr="00D7468F">
              <w:rPr>
                <w:rFonts w:ascii="Sto TT" w:eastAsia="Verdana" w:hAnsi="Sto TT" w:cs="Arial"/>
                <w:sz w:val="22"/>
                <w:szCs w:val="22"/>
              </w:rPr>
              <w:lastRenderedPageBreak/>
              <w:br w:type="page"/>
            </w:r>
            <w:r w:rsidRPr="00D7468F">
              <w:rPr>
                <w:rFonts w:ascii="Sto TT" w:hAnsi="Sto TT" w:cs="Arial"/>
                <w:b/>
                <w:bCs/>
                <w:color w:val="2E74B5" w:themeColor="accent5" w:themeShade="BF"/>
                <w:sz w:val="22"/>
                <w:szCs w:val="22"/>
              </w:rPr>
              <w:t>Peinture en Sous-face – Nez de Balcon</w:t>
            </w:r>
          </w:p>
        </w:tc>
      </w:tr>
    </w:tbl>
    <w:p w14:paraId="5662A0C3" w14:textId="77777777" w:rsidR="0017434C" w:rsidRPr="00D7468F" w:rsidRDefault="0017434C" w:rsidP="0017434C">
      <w:pPr>
        <w:ind w:left="-709" w:right="1"/>
        <w:rPr>
          <w:rFonts w:ascii="Sto TT" w:eastAsia="Verdana" w:hAnsi="Sto TT" w:cs="Arial"/>
          <w:b/>
          <w:bCs/>
          <w:sz w:val="18"/>
          <w:szCs w:val="18"/>
          <w:u w:val="single"/>
        </w:rPr>
      </w:pPr>
    </w:p>
    <w:p w14:paraId="20BE32C2" w14:textId="77777777" w:rsidR="0017434C" w:rsidRPr="00D7468F" w:rsidRDefault="0017434C" w:rsidP="00A53FC9">
      <w:pPr>
        <w:ind w:left="-709" w:right="1"/>
        <w:jc w:val="both"/>
        <w:rPr>
          <w:rFonts w:ascii="Sto TT" w:hAnsi="Sto TT" w:cs="Arial"/>
          <w:sz w:val="18"/>
          <w:szCs w:val="18"/>
        </w:rPr>
      </w:pPr>
      <w:r w:rsidRPr="00D7468F">
        <w:rPr>
          <w:rFonts w:ascii="Sto TT" w:eastAsia="Verdana" w:hAnsi="Sto TT" w:cs="Arial"/>
          <w:sz w:val="18"/>
          <w:szCs w:val="18"/>
        </w:rPr>
        <w:t xml:space="preserve">Les sous-faces </w:t>
      </w:r>
      <w:r w:rsidRPr="00D7468F">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3BADEEC1" w14:textId="77777777" w:rsidR="0017434C" w:rsidRPr="00D7468F" w:rsidRDefault="0017434C" w:rsidP="00A53FC9">
      <w:pPr>
        <w:ind w:left="-709" w:right="1"/>
        <w:jc w:val="both"/>
        <w:rPr>
          <w:rFonts w:ascii="Sto TT" w:hAnsi="Sto TT" w:cs="Arial"/>
          <w:sz w:val="18"/>
          <w:szCs w:val="18"/>
        </w:rPr>
      </w:pPr>
    </w:p>
    <w:p w14:paraId="1AAD3762" w14:textId="77777777" w:rsidR="0017434C" w:rsidRPr="00D7468F" w:rsidRDefault="0017434C" w:rsidP="00A53FC9">
      <w:pPr>
        <w:ind w:left="-709" w:right="1"/>
        <w:jc w:val="both"/>
        <w:rPr>
          <w:rFonts w:ascii="Sto TT" w:hAnsi="Sto TT" w:cs="Arial"/>
          <w:sz w:val="18"/>
          <w:szCs w:val="18"/>
        </w:rPr>
      </w:pPr>
      <w:r w:rsidRPr="00D7468F">
        <w:rPr>
          <w:rFonts w:ascii="Sto TT" w:eastAsia="Verdana" w:hAnsi="Sto TT" w:cs="Arial"/>
          <w:sz w:val="18"/>
          <w:szCs w:val="18"/>
        </w:rPr>
        <w:t xml:space="preserve">La mise en œuvre </w:t>
      </w:r>
      <w:r w:rsidRPr="00D7468F">
        <w:rPr>
          <w:rFonts w:ascii="Sto TT" w:hAnsi="Sto TT" w:cs="Arial"/>
          <w:sz w:val="18"/>
          <w:szCs w:val="18"/>
        </w:rPr>
        <w:t>devra respecter les prescriptions du DTU 59.1.</w:t>
      </w:r>
    </w:p>
    <w:p w14:paraId="02327935" w14:textId="77777777" w:rsidR="0017434C" w:rsidRPr="00D7468F" w:rsidRDefault="0017434C" w:rsidP="00A53FC9">
      <w:pPr>
        <w:ind w:left="-709" w:right="1"/>
        <w:jc w:val="both"/>
        <w:rPr>
          <w:rFonts w:ascii="Sto TT" w:hAnsi="Sto TT" w:cs="Arial"/>
          <w:sz w:val="18"/>
          <w:szCs w:val="18"/>
        </w:rPr>
      </w:pPr>
    </w:p>
    <w:p w14:paraId="6560881F" w14:textId="77777777" w:rsidR="0017434C" w:rsidRPr="00D7468F" w:rsidRDefault="0017434C" w:rsidP="00A53FC9">
      <w:pPr>
        <w:ind w:left="-709" w:right="1"/>
        <w:jc w:val="both"/>
        <w:rPr>
          <w:rFonts w:ascii="Sto TT" w:eastAsia="Verdana" w:hAnsi="Sto TT" w:cs="Arial"/>
          <w:sz w:val="18"/>
          <w:szCs w:val="18"/>
        </w:rPr>
      </w:pPr>
      <w:r w:rsidRPr="00D7468F">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352EB00" w14:textId="77777777" w:rsidR="0017434C" w:rsidRPr="00D7468F" w:rsidRDefault="0017434C" w:rsidP="00A53FC9">
      <w:pPr>
        <w:ind w:left="-709" w:right="1"/>
        <w:jc w:val="both"/>
        <w:rPr>
          <w:rFonts w:ascii="Sto TT" w:eastAsia="Verdana" w:hAnsi="Sto TT" w:cs="Arial"/>
          <w:sz w:val="18"/>
          <w:szCs w:val="18"/>
        </w:rPr>
      </w:pPr>
    </w:p>
    <w:p w14:paraId="5F0E3265" w14:textId="77777777" w:rsidR="0017434C" w:rsidRPr="00D7468F" w:rsidRDefault="0017434C" w:rsidP="00A53FC9">
      <w:pPr>
        <w:ind w:left="-709" w:right="1"/>
        <w:jc w:val="both"/>
        <w:rPr>
          <w:rFonts w:ascii="Sto TT" w:hAnsi="Sto TT" w:cs="Arial"/>
          <w:sz w:val="18"/>
          <w:szCs w:val="18"/>
        </w:rPr>
      </w:pPr>
      <w:r w:rsidRPr="00D7468F">
        <w:rPr>
          <w:rFonts w:ascii="Sto TT" w:eastAsia="Verdana" w:hAnsi="Sto TT" w:cs="Arial"/>
          <w:sz w:val="18"/>
          <w:szCs w:val="18"/>
        </w:rPr>
        <w:t>Il est recommandé</w:t>
      </w:r>
      <w:r w:rsidRPr="00D7468F">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3EB02CE6" w14:textId="77777777" w:rsidR="0017434C" w:rsidRPr="00D7468F" w:rsidRDefault="0017434C" w:rsidP="00A53FC9">
      <w:pPr>
        <w:ind w:left="-709" w:right="1"/>
        <w:jc w:val="both"/>
        <w:rPr>
          <w:rFonts w:ascii="Sto TT" w:hAnsi="Sto TT" w:cs="Arial"/>
          <w:sz w:val="18"/>
          <w:szCs w:val="18"/>
        </w:rPr>
      </w:pPr>
    </w:p>
    <w:p w14:paraId="07B75617" w14:textId="77777777" w:rsidR="0017434C" w:rsidRPr="00D7468F" w:rsidRDefault="0017434C" w:rsidP="00A53FC9">
      <w:pPr>
        <w:ind w:left="-709" w:right="1"/>
        <w:jc w:val="both"/>
        <w:rPr>
          <w:rFonts w:ascii="Sto TT" w:hAnsi="Sto TT" w:cs="Arial"/>
          <w:sz w:val="18"/>
          <w:szCs w:val="18"/>
        </w:rPr>
      </w:pPr>
      <w:r w:rsidRPr="00D7468F">
        <w:rPr>
          <w:rFonts w:ascii="Sto TT" w:hAnsi="Sto TT" w:cs="Arial"/>
          <w:sz w:val="18"/>
          <w:szCs w:val="18"/>
        </w:rPr>
        <w:t xml:space="preserve">En nez de balcon, deux solutions sont envisageables : soit le recouvrement du profilé </w:t>
      </w:r>
      <w:r w:rsidRPr="00D7468F">
        <w:rPr>
          <w:rFonts w:ascii="Sto TT" w:hAnsi="Sto TT" w:cs="Arial"/>
          <w:b/>
          <w:bCs/>
          <w:sz w:val="18"/>
          <w:szCs w:val="18"/>
        </w:rPr>
        <w:t>StoDeco Line K</w:t>
      </w:r>
      <w:r w:rsidRPr="00D7468F">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D7468F">
        <w:rPr>
          <w:rFonts w:ascii="Sto TT" w:hAnsi="Sto TT" w:cs="Arial"/>
          <w:b/>
          <w:bCs/>
          <w:sz w:val="18"/>
          <w:szCs w:val="18"/>
        </w:rPr>
        <w:t>StoSeal F355</w:t>
      </w:r>
      <w:r w:rsidRPr="00D7468F">
        <w:rPr>
          <w:rFonts w:ascii="Sto TT" w:hAnsi="Sto TT" w:cs="Arial"/>
          <w:sz w:val="18"/>
          <w:szCs w:val="18"/>
        </w:rPr>
        <w:t>, en veillant à la bonne étanchéité entre le support et le profil.</w:t>
      </w:r>
    </w:p>
    <w:p w14:paraId="1F6E5E5D" w14:textId="77777777" w:rsidR="0017434C" w:rsidRPr="00D7468F" w:rsidRDefault="0017434C" w:rsidP="0017434C">
      <w:pPr>
        <w:ind w:left="-709" w:right="1"/>
        <w:jc w:val="center"/>
        <w:rPr>
          <w:rFonts w:ascii="Sto TT" w:hAnsi="Sto TT" w:cs="Arial"/>
          <w:sz w:val="18"/>
          <w:szCs w:val="18"/>
        </w:rPr>
      </w:pPr>
      <w:r w:rsidRPr="00D7468F">
        <w:rPr>
          <w:rFonts w:ascii="Sto TT" w:hAnsi="Sto TT" w:cs="Arial"/>
          <w:noProof/>
          <w:sz w:val="18"/>
          <w:szCs w:val="18"/>
        </w:rPr>
        <w:drawing>
          <wp:inline distT="0" distB="0" distL="0" distR="0" wp14:anchorId="3D385AF0" wp14:editId="5B633B7F">
            <wp:extent cx="4320000" cy="1692000"/>
            <wp:effectExtent l="0" t="0" r="4445" b="3810"/>
            <wp:docPr id="1362558344"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4"/>
                    <a:stretch>
                      <a:fillRect/>
                    </a:stretch>
                  </pic:blipFill>
                  <pic:spPr>
                    <a:xfrm>
                      <a:off x="0" y="0"/>
                      <a:ext cx="4320000" cy="1692000"/>
                    </a:xfrm>
                    <a:prstGeom prst="rect">
                      <a:avLst/>
                    </a:prstGeom>
                  </pic:spPr>
                </pic:pic>
              </a:graphicData>
            </a:graphic>
          </wp:inline>
        </w:drawing>
      </w:r>
    </w:p>
    <w:p w14:paraId="6826DD7D" w14:textId="77777777" w:rsidR="0017434C" w:rsidRPr="00D7468F" w:rsidRDefault="0017434C" w:rsidP="00A53FC9">
      <w:pPr>
        <w:ind w:left="-709" w:right="1"/>
        <w:jc w:val="both"/>
        <w:rPr>
          <w:rFonts w:ascii="Sto TT" w:hAnsi="Sto TT" w:cs="Arial"/>
          <w:b/>
          <w:bCs/>
          <w:sz w:val="18"/>
          <w:szCs w:val="18"/>
          <w:u w:val="single"/>
        </w:rPr>
      </w:pPr>
      <w:r w:rsidRPr="00D7468F">
        <w:rPr>
          <w:rFonts w:ascii="Sto TT" w:hAnsi="Sto TT" w:cs="Arial"/>
          <w:b/>
          <w:bCs/>
          <w:sz w:val="18"/>
          <w:szCs w:val="18"/>
          <w:u w:val="single"/>
        </w:rPr>
        <w:t>Sous-face</w:t>
      </w:r>
    </w:p>
    <w:p w14:paraId="360BFE18" w14:textId="77777777" w:rsidR="0017434C" w:rsidRPr="00D7468F" w:rsidRDefault="0017434C" w:rsidP="00A53FC9">
      <w:pPr>
        <w:pStyle w:val="Paragraphedeliste"/>
        <w:numPr>
          <w:ilvl w:val="0"/>
          <w:numId w:val="22"/>
        </w:numPr>
        <w:ind w:right="1"/>
        <w:contextualSpacing w:val="0"/>
        <w:jc w:val="both"/>
        <w:rPr>
          <w:rFonts w:ascii="Sto TT" w:eastAsia="Verdana" w:hAnsi="Sto TT" w:cs="Arial"/>
          <w:b/>
          <w:bCs/>
          <w:sz w:val="18"/>
          <w:szCs w:val="18"/>
        </w:rPr>
      </w:pPr>
      <w:r w:rsidRPr="00D7468F">
        <w:rPr>
          <w:rFonts w:ascii="Sto TT" w:eastAsia="Verdana" w:hAnsi="Sto TT" w:cs="Arial"/>
          <w:i/>
          <w:iCs/>
          <w:sz w:val="18"/>
          <w:szCs w:val="18"/>
        </w:rPr>
        <w:t xml:space="preserve">Primaire avant peinture organique ou minérale : </w:t>
      </w:r>
      <w:r w:rsidRPr="00D7468F">
        <w:rPr>
          <w:rFonts w:ascii="Sto TT" w:eastAsia="Verdana" w:hAnsi="Sto TT" w:cs="Arial"/>
          <w:b/>
          <w:bCs/>
          <w:sz w:val="18"/>
          <w:szCs w:val="18"/>
        </w:rPr>
        <w:t>StoPrim Sol GT</w:t>
      </w:r>
    </w:p>
    <w:p w14:paraId="051FB7F6" w14:textId="77777777" w:rsidR="0017434C" w:rsidRPr="00D7468F" w:rsidRDefault="0017434C" w:rsidP="00A53FC9">
      <w:pPr>
        <w:pStyle w:val="Paragraphedeliste"/>
        <w:numPr>
          <w:ilvl w:val="1"/>
          <w:numId w:val="22"/>
        </w:numPr>
        <w:ind w:right="1"/>
        <w:contextualSpacing w:val="0"/>
        <w:jc w:val="both"/>
        <w:rPr>
          <w:rFonts w:ascii="Sto TT" w:eastAsia="Verdana" w:hAnsi="Sto TT" w:cs="Arial"/>
          <w:b/>
          <w:bCs/>
          <w:sz w:val="18"/>
          <w:szCs w:val="18"/>
        </w:rPr>
      </w:pPr>
      <w:r w:rsidRPr="00D7468F">
        <w:rPr>
          <w:rFonts w:ascii="Sto TT" w:eastAsia="Verdana" w:hAnsi="Sto TT" w:cs="Arial"/>
          <w:i/>
          <w:iCs/>
          <w:sz w:val="18"/>
          <w:szCs w:val="18"/>
        </w:rPr>
        <w:t xml:space="preserve">Peinture organique : </w:t>
      </w:r>
      <w:r w:rsidRPr="00D7468F">
        <w:rPr>
          <w:rFonts w:ascii="Sto TT" w:eastAsia="Verdana" w:hAnsi="Sto TT" w:cs="Arial"/>
          <w:b/>
          <w:bCs/>
          <w:sz w:val="18"/>
          <w:szCs w:val="18"/>
        </w:rPr>
        <w:t>StoColor Silco</w:t>
      </w:r>
    </w:p>
    <w:p w14:paraId="2CE118A8" w14:textId="77777777" w:rsidR="0017434C" w:rsidRPr="00D7468F" w:rsidRDefault="0017434C" w:rsidP="00A53FC9">
      <w:pPr>
        <w:pStyle w:val="Paragraphedeliste"/>
        <w:numPr>
          <w:ilvl w:val="1"/>
          <w:numId w:val="22"/>
        </w:numPr>
        <w:ind w:right="1"/>
        <w:contextualSpacing w:val="0"/>
        <w:jc w:val="both"/>
        <w:rPr>
          <w:rFonts w:ascii="Sto TT" w:eastAsia="Verdana" w:hAnsi="Sto TT" w:cs="Arial"/>
          <w:b/>
          <w:bCs/>
          <w:sz w:val="18"/>
          <w:szCs w:val="18"/>
        </w:rPr>
      </w:pPr>
      <w:r w:rsidRPr="00D7468F">
        <w:rPr>
          <w:rFonts w:ascii="Sto TT" w:eastAsia="Verdana" w:hAnsi="Sto TT" w:cs="Arial"/>
          <w:i/>
          <w:iCs/>
          <w:sz w:val="18"/>
          <w:szCs w:val="18"/>
        </w:rPr>
        <w:t xml:space="preserve">Peinture minérale : </w:t>
      </w:r>
      <w:r w:rsidRPr="00D7468F">
        <w:rPr>
          <w:rFonts w:ascii="Sto TT" w:eastAsia="Verdana" w:hAnsi="Sto TT" w:cs="Arial"/>
          <w:b/>
          <w:bCs/>
          <w:sz w:val="18"/>
          <w:szCs w:val="18"/>
        </w:rPr>
        <w:t>StoColor Solical</w:t>
      </w:r>
    </w:p>
    <w:p w14:paraId="527BB906" w14:textId="77777777" w:rsidR="0017434C" w:rsidRPr="00D7468F" w:rsidRDefault="0017434C" w:rsidP="00A53FC9">
      <w:pPr>
        <w:ind w:left="-709" w:right="1"/>
        <w:jc w:val="both"/>
        <w:rPr>
          <w:rFonts w:ascii="Sto TT" w:eastAsia="Verdana" w:hAnsi="Sto TT" w:cs="Arial"/>
          <w:b/>
          <w:bCs/>
          <w:sz w:val="18"/>
          <w:szCs w:val="18"/>
        </w:rPr>
      </w:pPr>
    </w:p>
    <w:p w14:paraId="6F760CC5" w14:textId="77777777" w:rsidR="0017434C" w:rsidRPr="00D7468F" w:rsidRDefault="0017434C" w:rsidP="00A53FC9">
      <w:pPr>
        <w:ind w:left="-709" w:right="1"/>
        <w:jc w:val="both"/>
        <w:rPr>
          <w:rFonts w:ascii="Sto TT" w:eastAsia="Verdana" w:hAnsi="Sto TT" w:cs="Arial"/>
          <w:sz w:val="18"/>
          <w:szCs w:val="18"/>
        </w:rPr>
      </w:pPr>
      <w:r w:rsidRPr="00D7468F">
        <w:rPr>
          <w:rFonts w:ascii="Sto TT" w:eastAsia="Verdana" w:hAnsi="Sto TT" w:cs="Arial"/>
          <w:sz w:val="18"/>
          <w:szCs w:val="18"/>
        </w:rPr>
        <w:t>Nota :</w:t>
      </w:r>
    </w:p>
    <w:p w14:paraId="1ED4C97F" w14:textId="77777777" w:rsidR="0017434C" w:rsidRPr="00D7468F" w:rsidRDefault="0017434C" w:rsidP="00A53FC9">
      <w:pPr>
        <w:ind w:left="-709" w:right="1"/>
        <w:jc w:val="both"/>
        <w:rPr>
          <w:rFonts w:ascii="Sto TT" w:hAnsi="Sto TT" w:cs="Arial"/>
          <w:sz w:val="18"/>
          <w:szCs w:val="18"/>
        </w:rPr>
      </w:pPr>
      <w:r w:rsidRPr="00D7468F">
        <w:rPr>
          <w:rFonts w:ascii="Sto TT" w:eastAsia="Verdana" w:hAnsi="Sto TT" w:cs="Arial"/>
          <w:sz w:val="18"/>
          <w:szCs w:val="18"/>
        </w:rPr>
        <w:t xml:space="preserve">Les finitions </w:t>
      </w:r>
      <w:r w:rsidRPr="00D7468F">
        <w:rPr>
          <w:rFonts w:ascii="Sto TT" w:hAnsi="Sto TT" w:cs="Arial"/>
          <w:b/>
          <w:bCs/>
          <w:sz w:val="18"/>
          <w:szCs w:val="18"/>
        </w:rPr>
        <w:t xml:space="preserve">StoColor Jumbosil, StoColor Dryonic, StoColor Dryonic M, </w:t>
      </w:r>
      <w:r w:rsidRPr="00D7468F">
        <w:rPr>
          <w:rFonts w:ascii="Sto TT" w:hAnsi="Sto TT" w:cs="Arial"/>
          <w:sz w:val="18"/>
          <w:szCs w:val="18"/>
        </w:rPr>
        <w:t xml:space="preserve">ne sont applicables en sous-faces uniquement si les balcons sont étanches et/ou bénéficient d'une nouvelle étanchéité assurant une </w:t>
      </w:r>
      <w:r w:rsidRPr="00D7468F">
        <w:rPr>
          <w:rFonts w:ascii="Sto TT" w:hAnsi="Sto TT" w:cs="Arial"/>
          <w:b/>
          <w:bCs/>
          <w:sz w:val="18"/>
          <w:szCs w:val="18"/>
        </w:rPr>
        <w:t>absence totale d'infiltration</w:t>
      </w:r>
      <w:r w:rsidRPr="00D7468F">
        <w:rPr>
          <w:rFonts w:ascii="Sto TT" w:hAnsi="Sto TT" w:cs="Arial"/>
          <w:sz w:val="18"/>
          <w:szCs w:val="18"/>
        </w:rPr>
        <w:t>. Dans le cas contraire, celles-ci ne sont applicables qu’en nez de balcon.</w:t>
      </w:r>
    </w:p>
    <w:p w14:paraId="6442BE36" w14:textId="77777777" w:rsidR="0017434C" w:rsidRPr="00D7468F" w:rsidRDefault="0017434C" w:rsidP="00A53FC9">
      <w:pPr>
        <w:ind w:left="-709" w:right="1"/>
        <w:jc w:val="both"/>
        <w:rPr>
          <w:rFonts w:ascii="Sto TT" w:hAnsi="Sto TT" w:cs="Arial"/>
          <w:sz w:val="18"/>
          <w:szCs w:val="18"/>
        </w:rPr>
      </w:pPr>
    </w:p>
    <w:p w14:paraId="6F881CD8" w14:textId="77777777" w:rsidR="0017434C" w:rsidRPr="00D7468F" w:rsidRDefault="0017434C" w:rsidP="00A53FC9">
      <w:pPr>
        <w:ind w:left="-709" w:right="1"/>
        <w:jc w:val="both"/>
        <w:rPr>
          <w:rFonts w:ascii="Sto TT" w:hAnsi="Sto TT" w:cs="Arial"/>
          <w:b/>
          <w:bCs/>
          <w:sz w:val="18"/>
          <w:szCs w:val="18"/>
          <w:u w:val="single"/>
        </w:rPr>
      </w:pPr>
      <w:r w:rsidRPr="00D7468F">
        <w:rPr>
          <w:rFonts w:ascii="Sto TT" w:hAnsi="Sto TT" w:cs="Arial"/>
          <w:b/>
          <w:bCs/>
          <w:sz w:val="18"/>
          <w:szCs w:val="18"/>
          <w:u w:val="single"/>
        </w:rPr>
        <w:t>Nez de balcon</w:t>
      </w:r>
    </w:p>
    <w:p w14:paraId="53C774A4" w14:textId="77777777" w:rsidR="0017434C" w:rsidRPr="00D7468F" w:rsidRDefault="0017434C" w:rsidP="00A53FC9">
      <w:pPr>
        <w:pStyle w:val="Paragraphedeliste"/>
        <w:numPr>
          <w:ilvl w:val="0"/>
          <w:numId w:val="22"/>
        </w:numPr>
        <w:ind w:right="1"/>
        <w:contextualSpacing w:val="0"/>
        <w:jc w:val="both"/>
        <w:rPr>
          <w:rFonts w:ascii="Sto TT" w:hAnsi="Sto TT" w:cs="Arial"/>
          <w:b/>
          <w:bCs/>
          <w:sz w:val="18"/>
          <w:szCs w:val="18"/>
        </w:rPr>
      </w:pPr>
      <w:r w:rsidRPr="00D7468F">
        <w:rPr>
          <w:rFonts w:ascii="Sto TT" w:hAnsi="Sto TT" w:cs="Arial"/>
          <w:i/>
          <w:iCs/>
          <w:sz w:val="18"/>
          <w:szCs w:val="18"/>
          <w:u w:val="single"/>
        </w:rPr>
        <w:t>Primaire avant peinture organique :</w:t>
      </w:r>
      <w:r w:rsidRPr="00D7468F">
        <w:rPr>
          <w:rFonts w:ascii="Sto TT" w:hAnsi="Sto TT" w:cs="Arial"/>
          <w:sz w:val="18"/>
          <w:szCs w:val="18"/>
        </w:rPr>
        <w:t xml:space="preserve"> </w:t>
      </w:r>
      <w:r w:rsidRPr="00D7468F">
        <w:rPr>
          <w:rFonts w:ascii="Sto TT" w:hAnsi="Sto TT" w:cs="Arial"/>
          <w:b/>
          <w:bCs/>
          <w:sz w:val="18"/>
          <w:szCs w:val="18"/>
        </w:rPr>
        <w:t>StoPlex W</w:t>
      </w:r>
      <w:r w:rsidRPr="00D7468F">
        <w:rPr>
          <w:rFonts w:ascii="Sto TT" w:hAnsi="Sto TT" w:cs="Arial"/>
          <w:sz w:val="18"/>
          <w:szCs w:val="18"/>
        </w:rPr>
        <w:t xml:space="preserve">, </w:t>
      </w:r>
      <w:r w:rsidRPr="00D7468F">
        <w:rPr>
          <w:rFonts w:ascii="Sto TT" w:hAnsi="Sto TT" w:cs="Arial"/>
          <w:b/>
          <w:bCs/>
          <w:sz w:val="18"/>
          <w:szCs w:val="18"/>
        </w:rPr>
        <w:t>StoPrep Isol</w:t>
      </w:r>
      <w:r w:rsidRPr="00D7468F">
        <w:rPr>
          <w:rFonts w:ascii="Sto TT" w:hAnsi="Sto TT" w:cs="Arial"/>
          <w:sz w:val="18"/>
          <w:szCs w:val="18"/>
        </w:rPr>
        <w:t xml:space="preserve">, </w:t>
      </w:r>
      <w:r w:rsidRPr="00D7468F">
        <w:rPr>
          <w:rFonts w:ascii="Sto TT" w:hAnsi="Sto TT" w:cs="Arial"/>
          <w:b/>
          <w:bCs/>
          <w:sz w:val="18"/>
          <w:szCs w:val="18"/>
        </w:rPr>
        <w:t>Sto-Prim</w:t>
      </w:r>
      <w:r w:rsidRPr="00D7468F">
        <w:rPr>
          <w:rFonts w:ascii="Sto TT" w:hAnsi="Sto TT" w:cs="Arial"/>
          <w:sz w:val="18"/>
          <w:szCs w:val="18"/>
        </w:rPr>
        <w:t xml:space="preserve"> ou </w:t>
      </w:r>
      <w:r w:rsidRPr="00D7468F">
        <w:rPr>
          <w:rFonts w:ascii="Sto TT" w:hAnsi="Sto TT" w:cs="Arial"/>
          <w:b/>
          <w:bCs/>
          <w:sz w:val="18"/>
          <w:szCs w:val="18"/>
        </w:rPr>
        <w:t>StoPrim Sol GT</w:t>
      </w:r>
    </w:p>
    <w:p w14:paraId="25D2A041" w14:textId="77777777" w:rsidR="0017434C" w:rsidRPr="00D7468F" w:rsidRDefault="0017434C" w:rsidP="00A53FC9">
      <w:pPr>
        <w:pStyle w:val="Paragraphedeliste"/>
        <w:numPr>
          <w:ilvl w:val="0"/>
          <w:numId w:val="22"/>
        </w:numPr>
        <w:ind w:right="1"/>
        <w:contextualSpacing w:val="0"/>
        <w:jc w:val="both"/>
        <w:rPr>
          <w:rFonts w:ascii="Sto TT" w:eastAsia="Verdana" w:hAnsi="Sto TT" w:cs="Arial"/>
          <w:i/>
          <w:iCs/>
          <w:sz w:val="18"/>
          <w:szCs w:val="18"/>
        </w:rPr>
      </w:pPr>
      <w:r w:rsidRPr="00D7468F">
        <w:rPr>
          <w:rFonts w:ascii="Sto TT" w:hAnsi="Sto TT" w:cs="Arial"/>
          <w:i/>
          <w:iCs/>
          <w:sz w:val="18"/>
          <w:szCs w:val="18"/>
          <w:u w:val="single"/>
        </w:rPr>
        <w:t>Primaire avant peinture minérale :</w:t>
      </w:r>
      <w:r w:rsidRPr="00D7468F">
        <w:rPr>
          <w:rFonts w:ascii="Sto TT" w:hAnsi="Sto TT" w:cs="Arial"/>
          <w:sz w:val="18"/>
          <w:szCs w:val="18"/>
        </w:rPr>
        <w:t xml:space="preserve"> </w:t>
      </w:r>
      <w:r w:rsidRPr="00D7468F">
        <w:rPr>
          <w:rFonts w:ascii="Sto TT" w:hAnsi="Sto TT" w:cs="Arial"/>
          <w:b/>
          <w:bCs/>
          <w:sz w:val="18"/>
          <w:szCs w:val="18"/>
        </w:rPr>
        <w:t>StoPlex W</w:t>
      </w:r>
      <w:r w:rsidRPr="00D7468F">
        <w:rPr>
          <w:rFonts w:ascii="Sto TT" w:hAnsi="Sto TT" w:cs="Arial"/>
          <w:sz w:val="18"/>
          <w:szCs w:val="18"/>
        </w:rPr>
        <w:t xml:space="preserve">, </w:t>
      </w:r>
      <w:r w:rsidRPr="00D7468F">
        <w:rPr>
          <w:rFonts w:ascii="Sto TT" w:hAnsi="Sto TT" w:cs="Arial"/>
          <w:b/>
          <w:bCs/>
          <w:sz w:val="18"/>
          <w:szCs w:val="18"/>
        </w:rPr>
        <w:t>StoPrep Isol</w:t>
      </w:r>
      <w:r w:rsidRPr="00D7468F">
        <w:rPr>
          <w:rFonts w:ascii="Sto TT" w:hAnsi="Sto TT" w:cs="Arial"/>
          <w:sz w:val="18"/>
          <w:szCs w:val="18"/>
        </w:rPr>
        <w:t xml:space="preserve"> ou </w:t>
      </w:r>
      <w:r w:rsidRPr="00D7468F">
        <w:rPr>
          <w:rFonts w:ascii="Sto TT" w:hAnsi="Sto TT" w:cs="Arial"/>
          <w:b/>
          <w:bCs/>
          <w:sz w:val="18"/>
          <w:szCs w:val="18"/>
        </w:rPr>
        <w:t>StoPrim Sol GT</w:t>
      </w:r>
    </w:p>
    <w:p w14:paraId="1C5AADF0" w14:textId="77777777" w:rsidR="0017434C" w:rsidRPr="00D7468F" w:rsidRDefault="0017434C" w:rsidP="00A53FC9">
      <w:pPr>
        <w:jc w:val="both"/>
        <w:rPr>
          <w:rFonts w:ascii="Sto TT" w:hAnsi="Sto TT" w:cs="Arial"/>
          <w:sz w:val="18"/>
          <w:szCs w:val="18"/>
        </w:rPr>
      </w:pPr>
    </w:p>
    <w:p w14:paraId="5DCF9F3C" w14:textId="77777777" w:rsidR="0017434C" w:rsidRPr="00D7468F" w:rsidRDefault="0017434C" w:rsidP="00A53FC9">
      <w:pPr>
        <w:pStyle w:val="Paragraphedeliste"/>
        <w:numPr>
          <w:ilvl w:val="0"/>
          <w:numId w:val="22"/>
        </w:numPr>
        <w:ind w:right="1"/>
        <w:contextualSpacing w:val="0"/>
        <w:jc w:val="both"/>
        <w:rPr>
          <w:rFonts w:ascii="Sto TT" w:hAnsi="Sto TT" w:cs="Arial"/>
          <w:b/>
          <w:bCs/>
          <w:sz w:val="18"/>
          <w:szCs w:val="18"/>
          <w:lang w:val="en-US"/>
        </w:rPr>
      </w:pPr>
      <w:r w:rsidRPr="00D7468F">
        <w:rPr>
          <w:rFonts w:ascii="Sto TT" w:hAnsi="Sto TT" w:cs="Arial"/>
          <w:i/>
          <w:iCs/>
          <w:sz w:val="18"/>
          <w:szCs w:val="18"/>
          <w:u w:val="single"/>
          <w:lang w:val="en-US"/>
        </w:rPr>
        <w:t>Peinture organique:</w:t>
      </w:r>
      <w:r w:rsidRPr="00D7468F">
        <w:rPr>
          <w:rFonts w:ascii="Sto TT" w:hAnsi="Sto TT" w:cs="Arial"/>
          <w:i/>
          <w:iCs/>
          <w:sz w:val="18"/>
          <w:szCs w:val="18"/>
          <w:lang w:val="en-US"/>
        </w:rPr>
        <w:t xml:space="preserve"> </w:t>
      </w:r>
      <w:r w:rsidRPr="00D7468F">
        <w:rPr>
          <w:rFonts w:ascii="Sto TT" w:hAnsi="Sto TT" w:cs="Arial"/>
          <w:b/>
          <w:bCs/>
          <w:sz w:val="18"/>
          <w:szCs w:val="18"/>
          <w:lang w:val="en-US"/>
        </w:rPr>
        <w:t>StoColor Jumbosil</w:t>
      </w:r>
      <w:r w:rsidRPr="00D7468F">
        <w:rPr>
          <w:rFonts w:ascii="Sto TT" w:hAnsi="Sto TT" w:cs="Arial"/>
          <w:sz w:val="18"/>
          <w:szCs w:val="18"/>
          <w:lang w:val="en-US"/>
        </w:rPr>
        <w:t xml:space="preserve">, </w:t>
      </w:r>
      <w:r w:rsidRPr="00D7468F">
        <w:rPr>
          <w:rFonts w:ascii="Sto TT" w:hAnsi="Sto TT" w:cs="Arial"/>
          <w:b/>
          <w:bCs/>
          <w:sz w:val="18"/>
          <w:szCs w:val="18"/>
          <w:lang w:val="en-US"/>
        </w:rPr>
        <w:t>StoColor Silco</w:t>
      </w:r>
      <w:r w:rsidRPr="00D7468F">
        <w:rPr>
          <w:rFonts w:ascii="Sto TT" w:hAnsi="Sto TT" w:cs="Arial"/>
          <w:sz w:val="18"/>
          <w:szCs w:val="18"/>
          <w:lang w:val="en-US"/>
        </w:rPr>
        <w:t xml:space="preserve">, </w:t>
      </w:r>
      <w:r w:rsidRPr="00D7468F">
        <w:rPr>
          <w:rFonts w:ascii="Sto TT" w:hAnsi="Sto TT" w:cs="Arial"/>
          <w:b/>
          <w:bCs/>
          <w:sz w:val="18"/>
          <w:szCs w:val="18"/>
          <w:lang w:val="en-US"/>
        </w:rPr>
        <w:t>StoColor Dryonic</w:t>
      </w:r>
      <w:r w:rsidRPr="00D7468F">
        <w:rPr>
          <w:rFonts w:ascii="Sto TT" w:hAnsi="Sto TT" w:cs="Arial"/>
          <w:sz w:val="18"/>
          <w:szCs w:val="18"/>
          <w:lang w:val="en-US"/>
        </w:rPr>
        <w:t xml:space="preserve">, </w:t>
      </w:r>
      <w:r w:rsidRPr="00D7468F">
        <w:rPr>
          <w:rFonts w:ascii="Sto TT" w:hAnsi="Sto TT" w:cs="Arial"/>
          <w:b/>
          <w:bCs/>
          <w:sz w:val="18"/>
          <w:szCs w:val="18"/>
          <w:lang w:val="en-US"/>
        </w:rPr>
        <w:t>StoColor Dryonic M</w:t>
      </w:r>
      <w:r w:rsidRPr="00D7468F">
        <w:rPr>
          <w:rFonts w:ascii="Sto TT" w:hAnsi="Sto TT" w:cs="Arial"/>
          <w:sz w:val="18"/>
          <w:szCs w:val="18"/>
          <w:lang w:val="en-US"/>
        </w:rPr>
        <w:t xml:space="preserve">, </w:t>
      </w:r>
      <w:r w:rsidRPr="00D7468F">
        <w:rPr>
          <w:rFonts w:ascii="Sto TT" w:hAnsi="Sto TT" w:cs="Arial"/>
          <w:b/>
          <w:bCs/>
          <w:sz w:val="18"/>
          <w:szCs w:val="18"/>
          <w:lang w:val="en-US"/>
        </w:rPr>
        <w:t xml:space="preserve">StoColor Dryonic </w:t>
      </w:r>
    </w:p>
    <w:p w14:paraId="011CB2D8" w14:textId="77777777" w:rsidR="0017434C" w:rsidRPr="00D7468F" w:rsidRDefault="0017434C" w:rsidP="00A53FC9">
      <w:pPr>
        <w:ind w:right="1"/>
        <w:jc w:val="both"/>
        <w:rPr>
          <w:rFonts w:ascii="Sto TT" w:hAnsi="Sto TT" w:cs="Arial"/>
          <w:b/>
          <w:bCs/>
          <w:sz w:val="18"/>
          <w:szCs w:val="18"/>
        </w:rPr>
      </w:pPr>
      <w:r w:rsidRPr="00D7468F">
        <w:rPr>
          <w:rFonts w:ascii="Sto TT" w:hAnsi="Sto TT" w:cs="Arial"/>
          <w:b/>
          <w:bCs/>
          <w:sz w:val="18"/>
          <w:szCs w:val="18"/>
        </w:rPr>
        <w:t>S</w:t>
      </w:r>
      <w:r w:rsidRPr="00D7468F">
        <w:rPr>
          <w:rFonts w:ascii="Sto TT" w:hAnsi="Sto TT" w:cs="Arial"/>
          <w:sz w:val="18"/>
          <w:szCs w:val="18"/>
        </w:rPr>
        <w:t xml:space="preserve"> ou </w:t>
      </w:r>
      <w:r w:rsidRPr="00D7468F">
        <w:rPr>
          <w:rFonts w:ascii="Sto TT" w:hAnsi="Sto TT" w:cs="Arial"/>
          <w:b/>
          <w:bCs/>
          <w:sz w:val="18"/>
          <w:szCs w:val="18"/>
        </w:rPr>
        <w:t>Irtop PluS Solo Mat</w:t>
      </w:r>
    </w:p>
    <w:p w14:paraId="4505A71D" w14:textId="77777777" w:rsidR="0017434C" w:rsidRPr="00D7468F" w:rsidRDefault="0017434C" w:rsidP="00A53FC9">
      <w:pPr>
        <w:pStyle w:val="Paragraphedeliste"/>
        <w:numPr>
          <w:ilvl w:val="0"/>
          <w:numId w:val="22"/>
        </w:numPr>
        <w:ind w:right="1"/>
        <w:contextualSpacing w:val="0"/>
        <w:jc w:val="both"/>
        <w:rPr>
          <w:rFonts w:ascii="Sto TT" w:eastAsia="Verdana" w:hAnsi="Sto TT" w:cs="Arial"/>
          <w:b/>
          <w:bCs/>
          <w:sz w:val="18"/>
          <w:szCs w:val="18"/>
        </w:rPr>
      </w:pPr>
      <w:r w:rsidRPr="00D7468F">
        <w:rPr>
          <w:rFonts w:ascii="Sto TT" w:eastAsia="Verdana" w:hAnsi="Sto TT" w:cs="Arial"/>
          <w:sz w:val="18"/>
          <w:szCs w:val="18"/>
          <w:u w:val="single"/>
        </w:rPr>
        <w:t>Peinture minérale :</w:t>
      </w:r>
      <w:r w:rsidRPr="00D7468F">
        <w:rPr>
          <w:rFonts w:ascii="Sto TT" w:eastAsia="Verdana" w:hAnsi="Sto TT" w:cs="Arial"/>
          <w:sz w:val="18"/>
          <w:szCs w:val="18"/>
        </w:rPr>
        <w:t xml:space="preserve"> </w:t>
      </w:r>
      <w:r w:rsidRPr="00D7468F">
        <w:rPr>
          <w:rFonts w:ascii="Sto TT" w:eastAsia="Verdana" w:hAnsi="Sto TT" w:cs="Arial"/>
          <w:b/>
          <w:bCs/>
          <w:sz w:val="18"/>
          <w:szCs w:val="18"/>
        </w:rPr>
        <w:t>StoColor Solical</w:t>
      </w:r>
    </w:p>
    <w:p w14:paraId="762DD5BD" w14:textId="77777777" w:rsidR="0017434C" w:rsidRPr="00D7468F" w:rsidRDefault="0017434C" w:rsidP="0017434C">
      <w:pPr>
        <w:ind w:right="1"/>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D7468F" w14:paraId="254C8609" w14:textId="77777777" w:rsidTr="00E80E5E">
        <w:trPr>
          <w:trHeight w:val="248"/>
        </w:trPr>
        <w:tc>
          <w:tcPr>
            <w:tcW w:w="10349" w:type="dxa"/>
          </w:tcPr>
          <w:p w14:paraId="576DAB2B" w14:textId="77777777" w:rsidR="0017434C" w:rsidRPr="00D7468F" w:rsidRDefault="0017434C" w:rsidP="00E80E5E">
            <w:pPr>
              <w:pStyle w:val="Paragraphedeliste"/>
              <w:ind w:left="11"/>
              <w:jc w:val="center"/>
              <w:rPr>
                <w:rFonts w:ascii="Sto TT" w:eastAsia="Verdana" w:hAnsi="Sto TT" w:cs="Arial"/>
                <w:b/>
                <w:bCs/>
                <w:color w:val="2E74B5" w:themeColor="accent5" w:themeShade="BF"/>
                <w:sz w:val="22"/>
                <w:szCs w:val="22"/>
              </w:rPr>
            </w:pPr>
            <w:r w:rsidRPr="00D7468F">
              <w:rPr>
                <w:rFonts w:ascii="Sto TT" w:eastAsia="Verdana" w:hAnsi="Sto TT" w:cs="Arial"/>
                <w:sz w:val="22"/>
                <w:szCs w:val="22"/>
              </w:rPr>
              <w:br w:type="page"/>
            </w:r>
            <w:r w:rsidRPr="00D7468F">
              <w:rPr>
                <w:rFonts w:ascii="Sto TT" w:hAnsi="Sto TT" w:cs="Arial"/>
                <w:b/>
                <w:bCs/>
                <w:color w:val="2E74B5" w:themeColor="accent5" w:themeShade="BF"/>
                <w:sz w:val="22"/>
                <w:szCs w:val="22"/>
              </w:rPr>
              <w:t>Eléments Métalliques</w:t>
            </w:r>
          </w:p>
        </w:tc>
      </w:tr>
    </w:tbl>
    <w:p w14:paraId="03BED2F3" w14:textId="77777777" w:rsidR="0017434C" w:rsidRPr="00D7468F" w:rsidRDefault="0017434C" w:rsidP="0017434C">
      <w:pPr>
        <w:ind w:left="-709" w:right="1"/>
        <w:rPr>
          <w:rFonts w:ascii="Sto TT" w:eastAsia="Verdana" w:hAnsi="Sto TT" w:cs="Arial"/>
          <w:b/>
          <w:bCs/>
          <w:sz w:val="18"/>
          <w:szCs w:val="18"/>
          <w:u w:val="single"/>
        </w:rPr>
      </w:pPr>
    </w:p>
    <w:p w14:paraId="4AAF7949" w14:textId="77777777" w:rsidR="0017434C" w:rsidRPr="00D7468F" w:rsidRDefault="0017434C" w:rsidP="00A53FC9">
      <w:pPr>
        <w:ind w:left="-709" w:right="1"/>
        <w:jc w:val="both"/>
        <w:rPr>
          <w:rFonts w:ascii="Sto TT" w:eastAsia="Verdana" w:hAnsi="Sto TT" w:cs="Arial"/>
          <w:sz w:val="18"/>
          <w:szCs w:val="18"/>
        </w:rPr>
      </w:pPr>
      <w:r w:rsidRPr="00D7468F">
        <w:rPr>
          <w:rFonts w:ascii="Sto TT" w:eastAsia="Verdana" w:hAnsi="Sto TT" w:cs="Arial"/>
          <w:sz w:val="18"/>
          <w:szCs w:val="18"/>
        </w:rPr>
        <w:t>Préparation du support :</w:t>
      </w:r>
    </w:p>
    <w:p w14:paraId="48CCCA86" w14:textId="77777777" w:rsidR="0017434C" w:rsidRPr="00D7468F" w:rsidRDefault="0017434C" w:rsidP="00A53FC9">
      <w:pPr>
        <w:ind w:left="-709" w:right="1"/>
        <w:jc w:val="both"/>
        <w:rPr>
          <w:rFonts w:ascii="Sto TT" w:hAnsi="Sto TT" w:cs="Arial"/>
          <w:sz w:val="18"/>
          <w:szCs w:val="18"/>
        </w:rPr>
      </w:pPr>
      <w:r w:rsidRPr="00D7468F">
        <w:rPr>
          <w:rFonts w:ascii="Sto TT" w:eastAsia="Verdana" w:hAnsi="Sto TT" w:cs="Arial"/>
          <w:sz w:val="18"/>
          <w:szCs w:val="18"/>
        </w:rPr>
        <w:t xml:space="preserve">Vérifier la solidité </w:t>
      </w:r>
      <w:r w:rsidRPr="00D7468F">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73824AD2" w14:textId="77777777" w:rsidR="0017434C" w:rsidRPr="00D7468F" w:rsidRDefault="0017434C" w:rsidP="00A53FC9">
      <w:pPr>
        <w:ind w:left="-709" w:right="1"/>
        <w:jc w:val="both"/>
        <w:rPr>
          <w:rFonts w:ascii="Sto TT" w:hAnsi="Sto TT" w:cs="Arial"/>
          <w:sz w:val="18"/>
          <w:szCs w:val="18"/>
        </w:rPr>
      </w:pPr>
    </w:p>
    <w:p w14:paraId="687D59D1" w14:textId="77777777" w:rsidR="0017434C" w:rsidRPr="00D7468F" w:rsidRDefault="0017434C" w:rsidP="00A53FC9">
      <w:pPr>
        <w:ind w:left="-709" w:right="1"/>
        <w:jc w:val="both"/>
        <w:rPr>
          <w:rFonts w:ascii="Sto TT" w:hAnsi="Sto TT" w:cs="Arial"/>
          <w:sz w:val="18"/>
          <w:szCs w:val="18"/>
          <w:u w:val="single"/>
        </w:rPr>
      </w:pPr>
      <w:r w:rsidRPr="00D7468F">
        <w:rPr>
          <w:rFonts w:ascii="Sto TT" w:hAnsi="Sto TT" w:cs="Arial"/>
          <w:sz w:val="18"/>
          <w:szCs w:val="18"/>
          <w:u w:val="single"/>
        </w:rPr>
        <w:t>Système de peinture recommandé :</w:t>
      </w:r>
    </w:p>
    <w:p w14:paraId="0B8504A9" w14:textId="77777777" w:rsidR="00FD5D1E" w:rsidRDefault="0017434C" w:rsidP="00A53FC9">
      <w:pPr>
        <w:pStyle w:val="Paragraphedeliste"/>
        <w:numPr>
          <w:ilvl w:val="0"/>
          <w:numId w:val="22"/>
        </w:numPr>
        <w:ind w:right="1"/>
        <w:contextualSpacing w:val="0"/>
        <w:jc w:val="both"/>
        <w:rPr>
          <w:rFonts w:ascii="Sto TT" w:hAnsi="Sto TT" w:cs="Arial"/>
          <w:sz w:val="18"/>
          <w:szCs w:val="18"/>
        </w:rPr>
      </w:pPr>
      <w:r w:rsidRPr="00D7468F">
        <w:rPr>
          <w:rFonts w:ascii="Sto TT" w:hAnsi="Sto TT" w:cs="Arial"/>
          <w:sz w:val="18"/>
          <w:szCs w:val="18"/>
        </w:rPr>
        <w:t xml:space="preserve">Primaire : </w:t>
      </w:r>
      <w:r w:rsidRPr="00D7468F">
        <w:rPr>
          <w:rFonts w:ascii="Sto TT" w:hAnsi="Sto TT" w:cs="Arial"/>
          <w:b/>
          <w:bCs/>
          <w:sz w:val="18"/>
          <w:szCs w:val="18"/>
        </w:rPr>
        <w:t>StoPrim TS</w:t>
      </w:r>
      <w:r w:rsidRPr="00D7468F">
        <w:rPr>
          <w:rFonts w:ascii="Sto TT" w:hAnsi="Sto TT" w:cs="Arial"/>
          <w:sz w:val="18"/>
          <w:szCs w:val="18"/>
        </w:rPr>
        <w:t xml:space="preserve"> – primaire anticorrosion mono-composant à base de résine alkyde, application pure.</w:t>
      </w:r>
    </w:p>
    <w:p w14:paraId="2BEB86C3" w14:textId="0910819E" w:rsidR="0017434C" w:rsidRPr="00D7468F" w:rsidRDefault="0017434C" w:rsidP="00A53FC9">
      <w:pPr>
        <w:pStyle w:val="Paragraphedeliste"/>
        <w:numPr>
          <w:ilvl w:val="0"/>
          <w:numId w:val="22"/>
        </w:numPr>
        <w:ind w:right="1"/>
        <w:contextualSpacing w:val="0"/>
        <w:jc w:val="both"/>
        <w:rPr>
          <w:rFonts w:ascii="Sto TT" w:hAnsi="Sto TT" w:cs="Arial"/>
          <w:sz w:val="18"/>
          <w:szCs w:val="18"/>
        </w:rPr>
      </w:pPr>
      <w:r w:rsidRPr="00D7468F">
        <w:rPr>
          <w:rFonts w:ascii="Sto TT" w:hAnsi="Sto TT" w:cs="Arial"/>
          <w:sz w:val="18"/>
          <w:szCs w:val="18"/>
        </w:rPr>
        <w:t>Consommation : 0,08 à 0,10 L/m² par couche.</w:t>
      </w:r>
    </w:p>
    <w:p w14:paraId="059DA688" w14:textId="77777777" w:rsidR="0017434C" w:rsidRPr="00D7468F" w:rsidRDefault="0017434C" w:rsidP="00A53FC9">
      <w:pPr>
        <w:pStyle w:val="Paragraphedeliste"/>
        <w:numPr>
          <w:ilvl w:val="0"/>
          <w:numId w:val="22"/>
        </w:numPr>
        <w:ind w:right="1"/>
        <w:contextualSpacing w:val="0"/>
        <w:jc w:val="both"/>
        <w:rPr>
          <w:rFonts w:ascii="Sto TT" w:hAnsi="Sto TT" w:cs="Arial"/>
          <w:sz w:val="18"/>
          <w:szCs w:val="18"/>
        </w:rPr>
      </w:pPr>
      <w:r w:rsidRPr="00D7468F">
        <w:rPr>
          <w:rFonts w:ascii="Sto TT" w:hAnsi="Sto TT" w:cs="Arial"/>
          <w:sz w:val="18"/>
          <w:szCs w:val="18"/>
        </w:rPr>
        <w:t xml:space="preserve">Finition : </w:t>
      </w:r>
      <w:r w:rsidRPr="00D7468F">
        <w:rPr>
          <w:rFonts w:ascii="Sto TT" w:hAnsi="Sto TT" w:cs="Arial"/>
          <w:b/>
          <w:bCs/>
          <w:sz w:val="18"/>
          <w:szCs w:val="18"/>
        </w:rPr>
        <w:t>StoCorr Metallac</w:t>
      </w:r>
      <w:r w:rsidRPr="00D7468F">
        <w:rPr>
          <w:rFonts w:ascii="Sto TT" w:hAnsi="Sto TT" w:cs="Arial"/>
          <w:sz w:val="18"/>
          <w:szCs w:val="18"/>
        </w:rPr>
        <w:t xml:space="preserve"> – laque satinée épaisse en phase solvantée avec protection anticorrosion, conforme à la norme EN 13300.</w:t>
      </w:r>
    </w:p>
    <w:p w14:paraId="685D0E83" w14:textId="77777777" w:rsidR="00A53FC9" w:rsidRPr="00D7468F" w:rsidRDefault="0017434C" w:rsidP="00A53FC9">
      <w:pPr>
        <w:ind w:left="-709" w:right="1"/>
        <w:jc w:val="both"/>
        <w:rPr>
          <w:rFonts w:ascii="Sto TT" w:hAnsi="Sto TT" w:cs="Arial"/>
          <w:sz w:val="18"/>
          <w:szCs w:val="18"/>
        </w:rPr>
      </w:pPr>
      <w:r w:rsidRPr="00D7468F">
        <w:rPr>
          <w:rFonts w:ascii="Sto TT" w:hAnsi="Sto TT" w:cs="Arial"/>
          <w:sz w:val="18"/>
          <w:szCs w:val="18"/>
        </w:rPr>
        <w:lastRenderedPageBreak/>
        <w:t>Application en deux couches.</w:t>
      </w:r>
    </w:p>
    <w:p w14:paraId="19500AAB" w14:textId="77777777" w:rsidR="00A53FC9" w:rsidRPr="00D7468F" w:rsidRDefault="0017434C" w:rsidP="00A53FC9">
      <w:pPr>
        <w:ind w:left="-709" w:right="1"/>
        <w:jc w:val="both"/>
        <w:rPr>
          <w:rFonts w:ascii="Sto TT" w:hAnsi="Sto TT" w:cs="Arial"/>
          <w:sz w:val="18"/>
          <w:szCs w:val="18"/>
        </w:rPr>
      </w:pPr>
      <w:r w:rsidRPr="00D7468F">
        <w:rPr>
          <w:rFonts w:ascii="Sto TT" w:hAnsi="Sto TT" w:cs="Arial"/>
          <w:sz w:val="18"/>
          <w:szCs w:val="18"/>
        </w:rPr>
        <w:t>Consommation : 0,11 à 0,13 L/m² par couche.</w:t>
      </w:r>
    </w:p>
    <w:p w14:paraId="0C0A7205" w14:textId="2EB5FD17" w:rsidR="0017434C" w:rsidRPr="00D7468F" w:rsidRDefault="0017434C" w:rsidP="00A53FC9">
      <w:pPr>
        <w:ind w:left="-709" w:right="1"/>
        <w:jc w:val="both"/>
        <w:rPr>
          <w:rFonts w:ascii="Sto TT" w:hAnsi="Sto TT" w:cs="Arial"/>
          <w:sz w:val="18"/>
          <w:szCs w:val="18"/>
        </w:rPr>
      </w:pPr>
      <w:r w:rsidRPr="00D7468F">
        <w:rPr>
          <w:rFonts w:ascii="Sto TT" w:hAnsi="Sto TT" w:cs="Arial"/>
          <w:sz w:val="18"/>
          <w:szCs w:val="18"/>
        </w:rPr>
        <w:t>Application : brosse, rouleau ou projection airless.</w:t>
      </w:r>
    </w:p>
    <w:p w14:paraId="07C4EFA7" w14:textId="77777777" w:rsidR="0017434C" w:rsidRPr="00D7468F" w:rsidRDefault="0017434C" w:rsidP="00A53FC9">
      <w:pPr>
        <w:ind w:left="-709" w:right="1"/>
        <w:jc w:val="both"/>
        <w:rPr>
          <w:rFonts w:ascii="Sto TT" w:hAnsi="Sto TT" w:cs="Arial"/>
          <w:sz w:val="18"/>
          <w:szCs w:val="18"/>
        </w:rPr>
      </w:pPr>
    </w:p>
    <w:p w14:paraId="292A983C" w14:textId="77777777" w:rsidR="0017434C" w:rsidRPr="00D7468F" w:rsidRDefault="0017434C" w:rsidP="00A53FC9">
      <w:pPr>
        <w:ind w:left="-709" w:right="1"/>
        <w:jc w:val="both"/>
        <w:rPr>
          <w:rFonts w:ascii="Sto TT" w:hAnsi="Sto TT" w:cs="Arial"/>
          <w:sz w:val="18"/>
          <w:szCs w:val="18"/>
          <w:u w:val="single"/>
        </w:rPr>
      </w:pPr>
      <w:r w:rsidRPr="00D7468F">
        <w:rPr>
          <w:rFonts w:ascii="Sto TT" w:hAnsi="Sto TT" w:cs="Arial"/>
          <w:sz w:val="18"/>
          <w:szCs w:val="18"/>
          <w:u w:val="single"/>
        </w:rPr>
        <w:t>Remarques :</w:t>
      </w:r>
    </w:p>
    <w:p w14:paraId="621F02F9" w14:textId="77777777" w:rsidR="0017434C" w:rsidRPr="00D7468F" w:rsidRDefault="0017434C" w:rsidP="00A53FC9">
      <w:pPr>
        <w:pStyle w:val="Paragraphedeliste"/>
        <w:numPr>
          <w:ilvl w:val="0"/>
          <w:numId w:val="23"/>
        </w:numPr>
        <w:ind w:right="1"/>
        <w:contextualSpacing w:val="0"/>
        <w:jc w:val="both"/>
        <w:rPr>
          <w:rFonts w:ascii="Sto TT" w:hAnsi="Sto TT" w:cs="Arial"/>
          <w:sz w:val="18"/>
          <w:szCs w:val="18"/>
        </w:rPr>
      </w:pPr>
      <w:r w:rsidRPr="00D7468F">
        <w:rPr>
          <w:rFonts w:ascii="Sto TT" w:hAnsi="Sto TT" w:cs="Arial"/>
          <w:sz w:val="18"/>
          <w:szCs w:val="18"/>
        </w:rPr>
        <w:t>Ne convient pas à la mise en œuvre sur portes ou fenêtres (risque de tack résiduel), utiliser le StoPremium Lac</w:t>
      </w:r>
    </w:p>
    <w:p w14:paraId="5BE44355" w14:textId="0B41278A" w:rsidR="00591921" w:rsidRDefault="0017434C" w:rsidP="007E49DA">
      <w:pPr>
        <w:pStyle w:val="Paragraphedeliste"/>
        <w:numPr>
          <w:ilvl w:val="0"/>
          <w:numId w:val="23"/>
        </w:numPr>
        <w:ind w:right="1"/>
        <w:contextualSpacing w:val="0"/>
        <w:jc w:val="both"/>
        <w:rPr>
          <w:rFonts w:ascii="Sto TT" w:hAnsi="Sto TT" w:cs="Arial"/>
          <w:sz w:val="18"/>
          <w:szCs w:val="18"/>
        </w:rPr>
      </w:pPr>
      <w:r w:rsidRPr="00D7468F">
        <w:rPr>
          <w:rFonts w:ascii="Sto TT" w:hAnsi="Sto TT" w:cs="Arial"/>
          <w:sz w:val="18"/>
          <w:szCs w:val="18"/>
        </w:rPr>
        <w:t>Respecter les prescriptions du DTU 59.1 pour les travaux de peinture en bâtiment.</w:t>
      </w:r>
    </w:p>
    <w:p w14:paraId="739FEE36" w14:textId="77777777" w:rsidR="007E49DA" w:rsidRPr="007E49DA" w:rsidRDefault="007E49DA" w:rsidP="007E49DA">
      <w:pPr>
        <w:pStyle w:val="Paragraphedeliste"/>
        <w:ind w:left="11" w:right="1"/>
        <w:contextualSpacing w:val="0"/>
        <w:jc w:val="both"/>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D7468F" w14:paraId="68AC7A69" w14:textId="77777777" w:rsidTr="00E80E5E">
        <w:trPr>
          <w:trHeight w:val="248"/>
        </w:trPr>
        <w:tc>
          <w:tcPr>
            <w:tcW w:w="10349" w:type="dxa"/>
          </w:tcPr>
          <w:p w14:paraId="5EF7EF84" w14:textId="77777777" w:rsidR="0017434C" w:rsidRPr="00D7468F" w:rsidRDefault="0017434C" w:rsidP="00E80E5E">
            <w:pPr>
              <w:jc w:val="center"/>
              <w:rPr>
                <w:rFonts w:ascii="Sto TT" w:eastAsia="Verdana" w:hAnsi="Sto TT" w:cs="Arial"/>
                <w:b/>
                <w:bCs/>
                <w:color w:val="2E74B5" w:themeColor="accent5" w:themeShade="BF"/>
                <w:sz w:val="22"/>
                <w:szCs w:val="22"/>
              </w:rPr>
            </w:pPr>
            <w:r w:rsidRPr="00D7468F">
              <w:rPr>
                <w:rFonts w:ascii="Sto TT" w:eastAsia="Verdana" w:hAnsi="Sto TT" w:cs="Arial"/>
                <w:sz w:val="22"/>
                <w:szCs w:val="22"/>
              </w:rPr>
              <w:br w:type="page"/>
            </w:r>
            <w:r w:rsidRPr="00D7468F">
              <w:rPr>
                <w:rFonts w:ascii="Sto TT" w:hAnsi="Sto TT" w:cs="Arial"/>
                <w:b/>
                <w:bCs/>
                <w:color w:val="2E74B5" w:themeColor="accent5" w:themeShade="BF"/>
                <w:sz w:val="22"/>
                <w:szCs w:val="22"/>
              </w:rPr>
              <w:t>Boiseries</w:t>
            </w:r>
          </w:p>
        </w:tc>
      </w:tr>
    </w:tbl>
    <w:p w14:paraId="3BE0F7B8" w14:textId="77777777" w:rsidR="0017434C" w:rsidRPr="00D7468F" w:rsidRDefault="0017434C" w:rsidP="0017434C">
      <w:pPr>
        <w:ind w:left="-709" w:right="1"/>
        <w:rPr>
          <w:rFonts w:ascii="Sto TT" w:eastAsia="Verdana" w:hAnsi="Sto TT" w:cs="Arial"/>
          <w:b/>
          <w:bCs/>
          <w:sz w:val="18"/>
          <w:szCs w:val="18"/>
          <w:u w:val="single"/>
        </w:rPr>
      </w:pPr>
    </w:p>
    <w:p w14:paraId="408C2510" w14:textId="77777777" w:rsidR="0017434C" w:rsidRPr="00D7468F" w:rsidRDefault="0017434C" w:rsidP="00A53FC9">
      <w:pPr>
        <w:ind w:left="-709" w:right="1"/>
        <w:jc w:val="both"/>
        <w:rPr>
          <w:rFonts w:ascii="Sto TT" w:eastAsia="Verdana" w:hAnsi="Sto TT" w:cs="Arial"/>
          <w:b/>
          <w:bCs/>
          <w:sz w:val="18"/>
          <w:szCs w:val="18"/>
        </w:rPr>
      </w:pPr>
      <w:r w:rsidRPr="00D7468F">
        <w:rPr>
          <w:rFonts w:ascii="Sto TT" w:eastAsia="Verdana" w:hAnsi="Sto TT" w:cs="Arial"/>
          <w:b/>
          <w:bCs/>
          <w:sz w:val="18"/>
          <w:szCs w:val="18"/>
        </w:rPr>
        <w:t>Eléments bois peints</w:t>
      </w:r>
    </w:p>
    <w:p w14:paraId="5B769AC5" w14:textId="77777777" w:rsidR="0017434C" w:rsidRPr="00D7468F" w:rsidRDefault="0017434C" w:rsidP="00A53FC9">
      <w:pPr>
        <w:ind w:left="-709" w:right="1"/>
        <w:jc w:val="both"/>
        <w:rPr>
          <w:rFonts w:ascii="Sto TT" w:hAnsi="Sto TT" w:cs="Arial"/>
          <w:sz w:val="18"/>
          <w:szCs w:val="18"/>
        </w:rPr>
      </w:pPr>
      <w:r w:rsidRPr="00D7468F">
        <w:rPr>
          <w:rFonts w:ascii="Sto TT" w:eastAsia="Verdana" w:hAnsi="Sto TT" w:cs="Arial"/>
          <w:sz w:val="18"/>
          <w:szCs w:val="18"/>
        </w:rPr>
        <w:t xml:space="preserve">Les boiseries extérieures peintes, affectées par des désordres tels que </w:t>
      </w:r>
      <w:r w:rsidRPr="00D7468F">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701C6E1A" w14:textId="77777777" w:rsidR="0017434C" w:rsidRPr="00D7468F" w:rsidRDefault="0017434C" w:rsidP="00A53FC9">
      <w:pPr>
        <w:ind w:left="-709" w:right="1"/>
        <w:jc w:val="both"/>
        <w:rPr>
          <w:rFonts w:ascii="Sto TT" w:hAnsi="Sto TT" w:cs="Arial"/>
          <w:sz w:val="18"/>
          <w:szCs w:val="18"/>
        </w:rPr>
      </w:pPr>
      <w:r w:rsidRPr="00D7468F">
        <w:rPr>
          <w:rFonts w:ascii="Sto TT" w:hAnsi="Sto TT" w:cs="Arial"/>
          <w:sz w:val="18"/>
          <w:szCs w:val="18"/>
        </w:rPr>
        <w:t>Les bois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0DB8C2ED" w14:textId="77777777" w:rsidR="0017434C" w:rsidRPr="00D7468F" w:rsidRDefault="0017434C" w:rsidP="00A53FC9">
      <w:pPr>
        <w:ind w:left="-709" w:right="1"/>
        <w:jc w:val="both"/>
        <w:rPr>
          <w:rFonts w:ascii="Sto TT" w:hAnsi="Sto TT" w:cs="Arial"/>
          <w:sz w:val="18"/>
          <w:szCs w:val="18"/>
        </w:rPr>
      </w:pPr>
    </w:p>
    <w:p w14:paraId="041AABBC" w14:textId="77777777" w:rsidR="0017434C" w:rsidRPr="00D7468F" w:rsidRDefault="0017434C" w:rsidP="00A53FC9">
      <w:pPr>
        <w:ind w:left="-709" w:right="1"/>
        <w:jc w:val="both"/>
        <w:rPr>
          <w:rFonts w:ascii="Sto TT" w:hAnsi="Sto TT" w:cs="Arial"/>
          <w:sz w:val="18"/>
          <w:szCs w:val="18"/>
          <w:u w:val="single"/>
        </w:rPr>
      </w:pPr>
      <w:r w:rsidRPr="00D7468F">
        <w:rPr>
          <w:rFonts w:ascii="Sto TT" w:hAnsi="Sto TT" w:cs="Arial"/>
          <w:sz w:val="18"/>
          <w:szCs w:val="18"/>
          <w:u w:val="single"/>
        </w:rPr>
        <w:t>Pour menuiseries – portes – fenêtres :</w:t>
      </w:r>
    </w:p>
    <w:p w14:paraId="0E3AF02A" w14:textId="77777777" w:rsidR="0017434C" w:rsidRPr="00D7468F" w:rsidRDefault="0017434C" w:rsidP="00A53FC9">
      <w:pPr>
        <w:pStyle w:val="Paragraphedeliste"/>
        <w:numPr>
          <w:ilvl w:val="0"/>
          <w:numId w:val="24"/>
        </w:numPr>
        <w:ind w:right="1"/>
        <w:contextualSpacing w:val="0"/>
        <w:jc w:val="both"/>
        <w:rPr>
          <w:rFonts w:ascii="Sto TT" w:hAnsi="Sto TT" w:cs="Arial"/>
          <w:b/>
          <w:bCs/>
          <w:sz w:val="18"/>
          <w:szCs w:val="18"/>
        </w:rPr>
      </w:pPr>
      <w:r w:rsidRPr="00D7468F">
        <w:rPr>
          <w:rFonts w:ascii="Sto TT" w:hAnsi="Sto TT" w:cs="Arial"/>
          <w:i/>
          <w:iCs/>
          <w:sz w:val="18"/>
          <w:szCs w:val="18"/>
        </w:rPr>
        <w:t>En phase aqueuse :</w:t>
      </w:r>
      <w:r w:rsidRPr="00D7468F">
        <w:rPr>
          <w:rFonts w:ascii="Sto TT" w:hAnsi="Sto TT" w:cs="Arial"/>
          <w:sz w:val="18"/>
          <w:szCs w:val="18"/>
        </w:rPr>
        <w:t xml:space="preserve"> </w:t>
      </w:r>
      <w:r w:rsidRPr="00D7468F">
        <w:rPr>
          <w:rFonts w:ascii="Sto TT" w:hAnsi="Sto TT" w:cs="Arial"/>
          <w:b/>
          <w:bCs/>
          <w:sz w:val="18"/>
          <w:szCs w:val="18"/>
        </w:rPr>
        <w:t>StoPrim Aqua TS</w:t>
      </w:r>
      <w:r w:rsidRPr="00D7468F">
        <w:rPr>
          <w:rFonts w:ascii="Sto TT" w:hAnsi="Sto TT" w:cs="Arial"/>
          <w:sz w:val="18"/>
          <w:szCs w:val="18"/>
        </w:rPr>
        <w:t xml:space="preserve"> + </w:t>
      </w:r>
      <w:r w:rsidRPr="00D7468F">
        <w:rPr>
          <w:rFonts w:ascii="Sto TT" w:hAnsi="Sto TT" w:cs="Arial"/>
          <w:b/>
          <w:bCs/>
          <w:sz w:val="18"/>
          <w:szCs w:val="18"/>
        </w:rPr>
        <w:t>StoAqua Ventilac Satin</w:t>
      </w:r>
    </w:p>
    <w:p w14:paraId="061C3CD3" w14:textId="77777777" w:rsidR="0017434C" w:rsidRPr="00D7468F" w:rsidRDefault="0017434C" w:rsidP="00A53FC9">
      <w:pPr>
        <w:pStyle w:val="Paragraphedeliste"/>
        <w:numPr>
          <w:ilvl w:val="0"/>
          <w:numId w:val="24"/>
        </w:numPr>
        <w:ind w:right="1"/>
        <w:contextualSpacing w:val="0"/>
        <w:jc w:val="both"/>
        <w:rPr>
          <w:rFonts w:ascii="Sto TT" w:hAnsi="Sto TT" w:cs="Arial"/>
          <w:sz w:val="18"/>
          <w:szCs w:val="18"/>
        </w:rPr>
      </w:pPr>
      <w:r w:rsidRPr="00D7468F">
        <w:rPr>
          <w:rFonts w:ascii="Sto TT" w:hAnsi="Sto TT" w:cs="Arial"/>
          <w:i/>
          <w:iCs/>
          <w:sz w:val="18"/>
          <w:szCs w:val="18"/>
        </w:rPr>
        <w:t>En phase solvantée :</w:t>
      </w:r>
      <w:r w:rsidRPr="00D7468F">
        <w:rPr>
          <w:rFonts w:ascii="Sto TT" w:hAnsi="Sto TT" w:cs="Arial"/>
          <w:sz w:val="18"/>
          <w:szCs w:val="18"/>
        </w:rPr>
        <w:t xml:space="preserve"> </w:t>
      </w:r>
      <w:r w:rsidRPr="00D7468F">
        <w:rPr>
          <w:rFonts w:ascii="Sto TT" w:hAnsi="Sto TT" w:cs="Arial"/>
          <w:b/>
          <w:bCs/>
          <w:sz w:val="18"/>
          <w:szCs w:val="18"/>
        </w:rPr>
        <w:t>StoPrim Aqua TS</w:t>
      </w:r>
      <w:r w:rsidRPr="00D7468F">
        <w:rPr>
          <w:rFonts w:ascii="Sto TT" w:hAnsi="Sto TT" w:cs="Arial"/>
          <w:sz w:val="18"/>
          <w:szCs w:val="18"/>
        </w:rPr>
        <w:t xml:space="preserve"> + </w:t>
      </w:r>
      <w:r w:rsidRPr="00D7468F">
        <w:rPr>
          <w:rFonts w:ascii="Sto TT" w:hAnsi="Sto TT" w:cs="Arial"/>
          <w:b/>
          <w:bCs/>
          <w:sz w:val="18"/>
          <w:szCs w:val="18"/>
        </w:rPr>
        <w:t>StoVentilac Satin AF</w:t>
      </w:r>
    </w:p>
    <w:p w14:paraId="04561BA9" w14:textId="77777777" w:rsidR="0017434C" w:rsidRPr="00D7468F" w:rsidRDefault="0017434C" w:rsidP="00A53FC9">
      <w:pPr>
        <w:ind w:left="-709" w:right="1"/>
        <w:jc w:val="both"/>
        <w:rPr>
          <w:rFonts w:ascii="Sto TT" w:hAnsi="Sto TT" w:cs="Arial"/>
          <w:sz w:val="18"/>
          <w:szCs w:val="18"/>
        </w:rPr>
      </w:pPr>
    </w:p>
    <w:p w14:paraId="766FCDED" w14:textId="77777777" w:rsidR="0017434C" w:rsidRPr="00D7468F" w:rsidRDefault="0017434C" w:rsidP="00A53FC9">
      <w:pPr>
        <w:ind w:left="-709" w:right="1"/>
        <w:jc w:val="both"/>
        <w:rPr>
          <w:rFonts w:ascii="Sto TT" w:hAnsi="Sto TT" w:cs="Arial"/>
          <w:sz w:val="18"/>
          <w:szCs w:val="18"/>
        </w:rPr>
      </w:pPr>
      <w:r w:rsidRPr="00D7468F">
        <w:rPr>
          <w:rFonts w:ascii="Sto TT" w:hAnsi="Sto TT" w:cs="Arial"/>
          <w:sz w:val="18"/>
          <w:szCs w:val="18"/>
        </w:rPr>
        <w:t>Hors menuiseries – portes – fenêtres :</w:t>
      </w:r>
    </w:p>
    <w:p w14:paraId="3A3BEB65" w14:textId="77777777" w:rsidR="0017434C" w:rsidRPr="00D7468F" w:rsidRDefault="0017434C" w:rsidP="00A53FC9">
      <w:pPr>
        <w:pStyle w:val="Paragraphedeliste"/>
        <w:numPr>
          <w:ilvl w:val="0"/>
          <w:numId w:val="24"/>
        </w:numPr>
        <w:ind w:right="1"/>
        <w:contextualSpacing w:val="0"/>
        <w:jc w:val="both"/>
        <w:rPr>
          <w:rFonts w:ascii="Sto TT" w:hAnsi="Sto TT" w:cs="Arial"/>
          <w:b/>
          <w:bCs/>
          <w:sz w:val="18"/>
          <w:szCs w:val="18"/>
        </w:rPr>
      </w:pPr>
      <w:r w:rsidRPr="00D7468F">
        <w:rPr>
          <w:rFonts w:ascii="Sto TT" w:hAnsi="Sto TT" w:cs="Arial"/>
          <w:i/>
          <w:iCs/>
          <w:sz w:val="18"/>
          <w:szCs w:val="18"/>
        </w:rPr>
        <w:t>En phase aqueuse :</w:t>
      </w:r>
      <w:r w:rsidRPr="00D7468F">
        <w:rPr>
          <w:rFonts w:ascii="Sto TT" w:hAnsi="Sto TT" w:cs="Arial"/>
          <w:sz w:val="18"/>
          <w:szCs w:val="18"/>
        </w:rPr>
        <w:t xml:space="preserve"> </w:t>
      </w:r>
      <w:r w:rsidRPr="00D7468F">
        <w:rPr>
          <w:rFonts w:ascii="Sto TT" w:hAnsi="Sto TT" w:cs="Arial"/>
          <w:b/>
          <w:bCs/>
          <w:sz w:val="18"/>
          <w:szCs w:val="18"/>
        </w:rPr>
        <w:t>Sto-Prim</w:t>
      </w:r>
      <w:r w:rsidRPr="00D7468F">
        <w:rPr>
          <w:rFonts w:ascii="Sto TT" w:hAnsi="Sto TT" w:cs="Arial"/>
          <w:sz w:val="18"/>
          <w:szCs w:val="18"/>
        </w:rPr>
        <w:t xml:space="preserve"> + </w:t>
      </w:r>
      <w:r w:rsidRPr="00D7468F">
        <w:rPr>
          <w:rFonts w:ascii="Sto TT" w:hAnsi="Sto TT" w:cs="Arial"/>
          <w:b/>
          <w:bCs/>
          <w:sz w:val="18"/>
          <w:szCs w:val="18"/>
        </w:rPr>
        <w:t>StoAqua Ventilac Satin</w:t>
      </w:r>
      <w:r w:rsidRPr="00D7468F">
        <w:rPr>
          <w:rFonts w:ascii="Sto TT" w:hAnsi="Sto TT" w:cs="Arial"/>
          <w:sz w:val="18"/>
          <w:szCs w:val="18"/>
        </w:rPr>
        <w:t xml:space="preserve">, </w:t>
      </w:r>
      <w:r w:rsidRPr="00D7468F">
        <w:rPr>
          <w:rFonts w:ascii="Sto TT" w:hAnsi="Sto TT" w:cs="Arial"/>
          <w:b/>
          <w:bCs/>
          <w:sz w:val="18"/>
          <w:szCs w:val="18"/>
        </w:rPr>
        <w:t>StoColor Dryonic Wood Dilué</w:t>
      </w:r>
      <w:r w:rsidRPr="00D7468F">
        <w:rPr>
          <w:rFonts w:ascii="Sto TT" w:hAnsi="Sto TT" w:cs="Arial"/>
          <w:sz w:val="18"/>
          <w:szCs w:val="18"/>
        </w:rPr>
        <w:t xml:space="preserve"> + </w:t>
      </w:r>
      <w:r w:rsidRPr="00D7468F">
        <w:rPr>
          <w:rFonts w:ascii="Sto TT" w:hAnsi="Sto TT" w:cs="Arial"/>
          <w:b/>
          <w:bCs/>
          <w:sz w:val="18"/>
          <w:szCs w:val="18"/>
        </w:rPr>
        <w:t>StoColor Dryonic Wood</w:t>
      </w:r>
    </w:p>
    <w:p w14:paraId="27C2438E" w14:textId="77777777" w:rsidR="0017434C" w:rsidRPr="00D7468F" w:rsidRDefault="0017434C" w:rsidP="00A53FC9">
      <w:pPr>
        <w:pStyle w:val="Paragraphedeliste"/>
        <w:numPr>
          <w:ilvl w:val="0"/>
          <w:numId w:val="24"/>
        </w:numPr>
        <w:ind w:right="1"/>
        <w:contextualSpacing w:val="0"/>
        <w:jc w:val="both"/>
        <w:rPr>
          <w:rFonts w:ascii="Sto TT" w:hAnsi="Sto TT" w:cs="Arial"/>
          <w:sz w:val="18"/>
          <w:szCs w:val="18"/>
        </w:rPr>
      </w:pPr>
      <w:r w:rsidRPr="00D7468F">
        <w:rPr>
          <w:rFonts w:ascii="Sto TT" w:hAnsi="Sto TT" w:cs="Arial"/>
          <w:i/>
          <w:iCs/>
          <w:sz w:val="18"/>
          <w:szCs w:val="18"/>
        </w:rPr>
        <w:t>En phase solvantée :</w:t>
      </w:r>
      <w:r w:rsidRPr="00D7468F">
        <w:rPr>
          <w:rFonts w:ascii="Sto TT" w:hAnsi="Sto TT" w:cs="Arial"/>
          <w:sz w:val="18"/>
          <w:szCs w:val="18"/>
        </w:rPr>
        <w:t xml:space="preserve"> </w:t>
      </w:r>
      <w:r w:rsidRPr="00D7468F">
        <w:rPr>
          <w:rFonts w:ascii="Sto TT" w:hAnsi="Sto TT" w:cs="Arial"/>
          <w:b/>
          <w:bCs/>
          <w:sz w:val="18"/>
          <w:szCs w:val="18"/>
        </w:rPr>
        <w:t>StoVentilac Satin AF</w:t>
      </w:r>
    </w:p>
    <w:p w14:paraId="62A66B76" w14:textId="77777777" w:rsidR="0017434C" w:rsidRPr="00D7468F" w:rsidRDefault="0017434C" w:rsidP="00A53FC9">
      <w:pPr>
        <w:ind w:left="-709" w:right="1"/>
        <w:jc w:val="both"/>
        <w:rPr>
          <w:rFonts w:ascii="Sto TT" w:hAnsi="Sto TT" w:cs="Arial"/>
          <w:sz w:val="18"/>
          <w:szCs w:val="18"/>
        </w:rPr>
      </w:pPr>
    </w:p>
    <w:p w14:paraId="257575A5" w14:textId="77777777" w:rsidR="0017434C" w:rsidRPr="00D7468F" w:rsidRDefault="0017434C" w:rsidP="00A53FC9">
      <w:pPr>
        <w:ind w:left="-709" w:right="1"/>
        <w:jc w:val="both"/>
        <w:rPr>
          <w:rFonts w:ascii="Sto TT" w:hAnsi="Sto TT" w:cs="Arial"/>
          <w:sz w:val="18"/>
          <w:szCs w:val="18"/>
        </w:rPr>
      </w:pPr>
      <w:r w:rsidRPr="00D7468F">
        <w:rPr>
          <w:rFonts w:ascii="Sto TT" w:hAnsi="Sto TT" w:cs="Arial"/>
          <w:sz w:val="18"/>
          <w:szCs w:val="18"/>
        </w:rPr>
        <w:t>Un exemple de système de finition : peinture satinée en phase solvant </w:t>
      </w:r>
      <w:r w:rsidRPr="00D7468F">
        <w:rPr>
          <w:rFonts w:ascii="Sto TT" w:hAnsi="Sto TT" w:cs="Arial"/>
          <w:b/>
          <w:bCs/>
          <w:sz w:val="18"/>
          <w:szCs w:val="18"/>
        </w:rPr>
        <w:t>StoVentilac Satin AF</w:t>
      </w:r>
      <w:r w:rsidRPr="00D7468F">
        <w:rPr>
          <w:rFonts w:ascii="Sto TT" w:hAnsi="Sto TT" w:cs="Arial"/>
          <w:sz w:val="18"/>
          <w:szCs w:val="18"/>
        </w:rPr>
        <w:t>, avec une première couche diluée à 5 % au </w:t>
      </w:r>
      <w:r w:rsidRPr="00D7468F">
        <w:rPr>
          <w:rFonts w:ascii="Sto TT" w:hAnsi="Sto TT" w:cs="Arial"/>
          <w:b/>
          <w:bCs/>
          <w:sz w:val="18"/>
          <w:szCs w:val="18"/>
        </w:rPr>
        <w:t>StoFluid AF</w:t>
      </w:r>
      <w:r w:rsidRPr="00D7468F">
        <w:rPr>
          <w:rFonts w:ascii="Sto TT" w:hAnsi="Sto TT" w:cs="Arial"/>
          <w:sz w:val="18"/>
          <w:szCs w:val="18"/>
        </w:rPr>
        <w:t> ou de </w:t>
      </w:r>
      <w:r w:rsidRPr="00D7468F">
        <w:rPr>
          <w:rFonts w:ascii="Sto TT" w:hAnsi="Sto TT" w:cs="Arial"/>
          <w:b/>
          <w:bCs/>
          <w:sz w:val="18"/>
          <w:szCs w:val="18"/>
        </w:rPr>
        <w:t>White Spirit</w:t>
      </w:r>
      <w:r w:rsidRPr="00D7468F">
        <w:rPr>
          <w:rFonts w:ascii="Sto TT" w:hAnsi="Sto TT" w:cs="Arial"/>
          <w:sz w:val="18"/>
          <w:szCs w:val="18"/>
        </w:rPr>
        <w:t>, suivie de deux couches de finition non diluées.</w:t>
      </w:r>
    </w:p>
    <w:p w14:paraId="262F045F" w14:textId="77777777" w:rsidR="0017434C" w:rsidRPr="00D7468F" w:rsidRDefault="0017434C" w:rsidP="0017434C">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D7468F" w14:paraId="261EEFDA" w14:textId="77777777" w:rsidTr="00E80E5E">
        <w:trPr>
          <w:trHeight w:val="248"/>
        </w:trPr>
        <w:tc>
          <w:tcPr>
            <w:tcW w:w="10349" w:type="dxa"/>
          </w:tcPr>
          <w:p w14:paraId="74C78AA6" w14:textId="77777777" w:rsidR="0017434C" w:rsidRPr="00D7468F" w:rsidRDefault="0017434C" w:rsidP="00E80E5E">
            <w:pPr>
              <w:pStyle w:val="Paragraphedeliste"/>
              <w:ind w:left="11"/>
              <w:jc w:val="center"/>
              <w:rPr>
                <w:rFonts w:ascii="Sto TT" w:eastAsia="Verdana" w:hAnsi="Sto TT" w:cs="Arial"/>
                <w:b/>
                <w:bCs/>
                <w:color w:val="2E74B5" w:themeColor="accent5" w:themeShade="BF"/>
                <w:sz w:val="22"/>
                <w:szCs w:val="22"/>
              </w:rPr>
            </w:pPr>
            <w:r w:rsidRPr="00D7468F">
              <w:rPr>
                <w:rFonts w:ascii="Sto TT" w:eastAsia="Verdana" w:hAnsi="Sto TT" w:cs="Arial"/>
                <w:sz w:val="22"/>
                <w:szCs w:val="22"/>
              </w:rPr>
              <w:br w:type="page"/>
            </w:r>
            <w:r w:rsidRPr="00D7468F">
              <w:rPr>
                <w:rFonts w:ascii="Sto TT" w:hAnsi="Sto TT" w:cs="Arial"/>
                <w:b/>
                <w:bCs/>
                <w:color w:val="2E74B5" w:themeColor="accent5" w:themeShade="BF"/>
                <w:sz w:val="22"/>
                <w:szCs w:val="22"/>
              </w:rPr>
              <w:t>Jardinières - Murs de soutènement</w:t>
            </w:r>
          </w:p>
        </w:tc>
      </w:tr>
    </w:tbl>
    <w:p w14:paraId="0BE44741" w14:textId="77777777" w:rsidR="0017434C" w:rsidRPr="00D7468F" w:rsidRDefault="0017434C" w:rsidP="0017434C">
      <w:pPr>
        <w:ind w:left="-709" w:right="1"/>
        <w:rPr>
          <w:rFonts w:ascii="Sto TT" w:eastAsia="Verdana" w:hAnsi="Sto TT" w:cs="Arial"/>
          <w:b/>
          <w:bCs/>
          <w:sz w:val="18"/>
          <w:szCs w:val="18"/>
          <w:u w:val="single"/>
        </w:rPr>
      </w:pPr>
    </w:p>
    <w:p w14:paraId="4F8E3FE9" w14:textId="77777777" w:rsidR="0017434C" w:rsidRPr="00D7468F" w:rsidRDefault="0017434C" w:rsidP="00A53FC9">
      <w:pPr>
        <w:ind w:left="-709" w:right="1"/>
        <w:jc w:val="both"/>
        <w:rPr>
          <w:rFonts w:ascii="Sto TT" w:hAnsi="Sto TT" w:cs="Arial"/>
          <w:sz w:val="18"/>
          <w:szCs w:val="18"/>
        </w:rPr>
      </w:pPr>
      <w:r w:rsidRPr="00D7468F">
        <w:rPr>
          <w:rFonts w:ascii="Sto TT" w:eastAsia="Verdana" w:hAnsi="Sto TT" w:cs="Arial"/>
          <w:sz w:val="18"/>
          <w:szCs w:val="18"/>
        </w:rPr>
        <w:t xml:space="preserve">La mise en </w:t>
      </w:r>
      <w:r w:rsidRPr="00D7468F">
        <w:rPr>
          <w:rFonts w:ascii="Sto TT" w:hAnsi="Sto TT" w:cs="Arial"/>
          <w:sz w:val="18"/>
          <w:szCs w:val="18"/>
        </w:rPr>
        <w:t>œuvre devra respecter les prescriptions du DTU 59.1.</w:t>
      </w:r>
    </w:p>
    <w:p w14:paraId="1F36A96F" w14:textId="77777777" w:rsidR="0017434C" w:rsidRPr="00D7468F" w:rsidRDefault="0017434C" w:rsidP="00A53FC9">
      <w:pPr>
        <w:ind w:left="-709" w:right="1"/>
        <w:jc w:val="both"/>
        <w:rPr>
          <w:rFonts w:ascii="Sto TT" w:hAnsi="Sto TT" w:cs="Arial"/>
          <w:sz w:val="18"/>
          <w:szCs w:val="18"/>
        </w:rPr>
      </w:pPr>
    </w:p>
    <w:p w14:paraId="0F0ECE5C" w14:textId="77777777" w:rsidR="0017434C" w:rsidRPr="00D7468F" w:rsidRDefault="0017434C" w:rsidP="00A53FC9">
      <w:pPr>
        <w:ind w:left="-709" w:right="1"/>
        <w:jc w:val="both"/>
        <w:rPr>
          <w:rFonts w:ascii="Sto TT" w:hAnsi="Sto TT" w:cs="Arial"/>
          <w:sz w:val="18"/>
          <w:szCs w:val="18"/>
        </w:rPr>
      </w:pPr>
      <w:r w:rsidRPr="00D7468F">
        <w:rPr>
          <w:rFonts w:ascii="Sto TT" w:hAnsi="Sto TT" w:cs="Arial"/>
          <w:sz w:val="18"/>
          <w:szCs w:val="18"/>
        </w:rPr>
        <w:t>La durabilité des revêtements appliqués sur un mur de soutènement est conditionnée à la qualité des dispositifs de drainage et d’étanchéité en amont.</w:t>
      </w:r>
    </w:p>
    <w:p w14:paraId="460F5A64" w14:textId="77777777" w:rsidR="0017434C" w:rsidRPr="00D7468F" w:rsidRDefault="0017434C" w:rsidP="00A53FC9">
      <w:pPr>
        <w:pStyle w:val="Paragraphedeliste"/>
        <w:numPr>
          <w:ilvl w:val="0"/>
          <w:numId w:val="25"/>
        </w:numPr>
        <w:ind w:right="1"/>
        <w:contextualSpacing w:val="0"/>
        <w:jc w:val="both"/>
        <w:rPr>
          <w:rFonts w:ascii="Sto TT" w:hAnsi="Sto TT" w:cs="Arial"/>
          <w:sz w:val="18"/>
          <w:szCs w:val="18"/>
        </w:rPr>
      </w:pPr>
      <w:r w:rsidRPr="00D7468F">
        <w:rPr>
          <w:rFonts w:ascii="Sto TT" w:hAnsi="Sto TT" w:cs="Arial"/>
          <w:sz w:val="18"/>
          <w:szCs w:val="18"/>
        </w:rPr>
        <w:t>Il est impératif de prévoir des travaux adaptés garantissant l’absence totale d’infiltrations susceptibles d’endommager le mur.</w:t>
      </w:r>
    </w:p>
    <w:p w14:paraId="560B864B" w14:textId="77777777" w:rsidR="0017434C" w:rsidRPr="00D7468F" w:rsidRDefault="0017434C" w:rsidP="00A53FC9">
      <w:pPr>
        <w:ind w:left="-709" w:right="1"/>
        <w:jc w:val="both"/>
        <w:rPr>
          <w:rFonts w:ascii="Sto TT" w:eastAsia="Verdana" w:hAnsi="Sto TT" w:cs="Arial"/>
          <w:sz w:val="18"/>
          <w:szCs w:val="18"/>
        </w:rPr>
      </w:pPr>
    </w:p>
    <w:p w14:paraId="132BCE87" w14:textId="77777777" w:rsidR="0017434C" w:rsidRPr="00D7468F" w:rsidRDefault="0017434C" w:rsidP="00A53FC9">
      <w:pPr>
        <w:ind w:left="-709" w:right="1"/>
        <w:jc w:val="both"/>
        <w:rPr>
          <w:rFonts w:ascii="Sto TT" w:hAnsi="Sto TT" w:cs="Arial"/>
          <w:sz w:val="18"/>
          <w:szCs w:val="18"/>
        </w:rPr>
      </w:pPr>
      <w:r w:rsidRPr="00D7468F">
        <w:rPr>
          <w:rFonts w:ascii="Sto TT" w:eastAsia="Verdana" w:hAnsi="Sto TT" w:cs="Arial"/>
          <w:sz w:val="18"/>
          <w:szCs w:val="18"/>
        </w:rPr>
        <w:t xml:space="preserve">La tenue </w:t>
      </w:r>
      <w:r w:rsidRPr="00D7468F">
        <w:rPr>
          <w:rFonts w:ascii="Sto TT" w:hAnsi="Sto TT" w:cs="Arial"/>
          <w:sz w:val="18"/>
          <w:szCs w:val="18"/>
        </w:rPr>
        <w:t>du revêtement sur les faces extérieures des jardinières non fissurées ne peut être garantie en l’absence d’étanchéité interne.</w:t>
      </w:r>
    </w:p>
    <w:p w14:paraId="129EDE5F" w14:textId="77777777" w:rsidR="0017434C" w:rsidRPr="00D7468F" w:rsidRDefault="0017434C" w:rsidP="00A53FC9">
      <w:pPr>
        <w:pStyle w:val="Paragraphedeliste"/>
        <w:numPr>
          <w:ilvl w:val="0"/>
          <w:numId w:val="25"/>
        </w:numPr>
        <w:ind w:right="1"/>
        <w:contextualSpacing w:val="0"/>
        <w:jc w:val="both"/>
        <w:rPr>
          <w:rFonts w:ascii="Sto TT" w:eastAsia="Verdana" w:hAnsi="Sto TT" w:cs="Arial"/>
          <w:sz w:val="18"/>
          <w:szCs w:val="18"/>
        </w:rPr>
      </w:pPr>
      <w:r w:rsidRPr="00D7468F">
        <w:rPr>
          <w:rFonts w:ascii="Sto TT" w:hAnsi="Sto TT" w:cs="Arial"/>
          <w:sz w:val="18"/>
          <w:szCs w:val="18"/>
        </w:rPr>
        <w:t>Il est fortement recommandé de réaliser un cuvelage initial pour assurer la pérennité des traitements proposés.</w:t>
      </w:r>
    </w:p>
    <w:p w14:paraId="73C5A75E" w14:textId="77777777" w:rsidR="0017434C" w:rsidRPr="00D7468F" w:rsidRDefault="0017434C" w:rsidP="00A53FC9">
      <w:pPr>
        <w:ind w:left="-709" w:right="1"/>
        <w:jc w:val="both"/>
        <w:rPr>
          <w:rFonts w:ascii="Sto TT" w:hAnsi="Sto TT" w:cs="Arial"/>
          <w:sz w:val="18"/>
          <w:szCs w:val="18"/>
        </w:rPr>
      </w:pPr>
    </w:p>
    <w:p w14:paraId="00B2BE95" w14:textId="77777777" w:rsidR="0017434C" w:rsidRPr="00D7468F" w:rsidRDefault="0017434C" w:rsidP="00A53FC9">
      <w:pPr>
        <w:ind w:left="-709" w:right="1"/>
        <w:jc w:val="both"/>
        <w:rPr>
          <w:rFonts w:ascii="Sto TT" w:hAnsi="Sto TT" w:cs="Arial"/>
          <w:sz w:val="18"/>
          <w:szCs w:val="18"/>
        </w:rPr>
      </w:pPr>
      <w:r w:rsidRPr="00D7468F">
        <w:rPr>
          <w:rFonts w:ascii="Sto TT" w:hAnsi="Sto TT" w:cs="Arial"/>
          <w:sz w:val="18"/>
          <w:szCs w:val="18"/>
        </w:rPr>
        <w:t>Il est recommandé de prévoir une protection des parties horizontales exposées afin de limiter l’encrassement des façades.</w:t>
      </w:r>
    </w:p>
    <w:p w14:paraId="6446104D" w14:textId="77777777" w:rsidR="0017434C" w:rsidRPr="00D7468F" w:rsidRDefault="0017434C" w:rsidP="00A53FC9">
      <w:pPr>
        <w:pStyle w:val="Paragraphedeliste"/>
        <w:numPr>
          <w:ilvl w:val="0"/>
          <w:numId w:val="25"/>
        </w:numPr>
        <w:ind w:right="1"/>
        <w:contextualSpacing w:val="0"/>
        <w:jc w:val="both"/>
        <w:rPr>
          <w:rFonts w:ascii="Sto TT" w:hAnsi="Sto TT" w:cs="Arial"/>
          <w:sz w:val="18"/>
          <w:szCs w:val="18"/>
        </w:rPr>
      </w:pPr>
      <w:r w:rsidRPr="00D7468F">
        <w:rPr>
          <w:rFonts w:ascii="Sto TT" w:hAnsi="Sto TT" w:cs="Arial"/>
          <w:i/>
          <w:iCs/>
          <w:sz w:val="18"/>
          <w:szCs w:val="18"/>
          <w:u w:val="single"/>
        </w:rPr>
        <w:t>Primaire avant peinture organique ou minérale :</w:t>
      </w:r>
      <w:r w:rsidRPr="00D7468F">
        <w:rPr>
          <w:rFonts w:ascii="Sto TT" w:hAnsi="Sto TT" w:cs="Arial"/>
          <w:sz w:val="18"/>
          <w:szCs w:val="18"/>
        </w:rPr>
        <w:t xml:space="preserve"> </w:t>
      </w:r>
      <w:r w:rsidRPr="00D7468F">
        <w:rPr>
          <w:rFonts w:ascii="Sto TT" w:hAnsi="Sto TT" w:cs="Arial"/>
          <w:b/>
          <w:bCs/>
          <w:sz w:val="18"/>
          <w:szCs w:val="18"/>
        </w:rPr>
        <w:t>StoPrim Sol GT</w:t>
      </w:r>
    </w:p>
    <w:p w14:paraId="6EEC4053" w14:textId="77777777" w:rsidR="0017434C" w:rsidRPr="00D7468F" w:rsidRDefault="0017434C" w:rsidP="00A53FC9">
      <w:pPr>
        <w:pStyle w:val="Paragraphedeliste"/>
        <w:numPr>
          <w:ilvl w:val="0"/>
          <w:numId w:val="25"/>
        </w:numPr>
        <w:ind w:right="1"/>
        <w:contextualSpacing w:val="0"/>
        <w:jc w:val="both"/>
        <w:rPr>
          <w:rFonts w:ascii="Sto TT" w:hAnsi="Sto TT" w:cs="Arial"/>
          <w:sz w:val="18"/>
          <w:szCs w:val="18"/>
          <w:lang w:val="pt-PT"/>
        </w:rPr>
      </w:pPr>
      <w:r w:rsidRPr="00D7468F">
        <w:rPr>
          <w:rFonts w:ascii="Sto TT" w:hAnsi="Sto TT" w:cs="Arial"/>
          <w:i/>
          <w:iCs/>
          <w:sz w:val="18"/>
          <w:szCs w:val="18"/>
          <w:u w:val="single"/>
          <w:lang w:val="pt-PT"/>
        </w:rPr>
        <w:t>Peinture organique:</w:t>
      </w:r>
      <w:r w:rsidRPr="00D7468F">
        <w:rPr>
          <w:rFonts w:ascii="Sto TT" w:hAnsi="Sto TT" w:cs="Arial"/>
          <w:sz w:val="18"/>
          <w:szCs w:val="18"/>
          <w:lang w:val="pt-PT"/>
        </w:rPr>
        <w:t xml:space="preserve">  </w:t>
      </w:r>
      <w:r w:rsidRPr="00D7468F">
        <w:rPr>
          <w:rFonts w:ascii="Sto TT" w:hAnsi="Sto TT" w:cs="Arial"/>
          <w:b/>
          <w:bCs/>
          <w:sz w:val="18"/>
          <w:szCs w:val="18"/>
          <w:lang w:val="pt-PT"/>
        </w:rPr>
        <w:t>StoColor Silco, StoColor Lotusan</w:t>
      </w:r>
    </w:p>
    <w:p w14:paraId="5C7F789E" w14:textId="77777777" w:rsidR="004B33F6" w:rsidRPr="00D7468F" w:rsidRDefault="0017434C" w:rsidP="00A53FC9">
      <w:pPr>
        <w:pStyle w:val="Paragraphedeliste"/>
        <w:numPr>
          <w:ilvl w:val="0"/>
          <w:numId w:val="25"/>
        </w:numPr>
        <w:ind w:right="1"/>
        <w:contextualSpacing w:val="0"/>
        <w:jc w:val="both"/>
        <w:rPr>
          <w:rFonts w:ascii="Sto TT" w:hAnsi="Sto TT" w:cs="Arial"/>
          <w:sz w:val="18"/>
          <w:szCs w:val="18"/>
        </w:rPr>
      </w:pPr>
      <w:r w:rsidRPr="00D7468F">
        <w:rPr>
          <w:rFonts w:ascii="Sto TT" w:hAnsi="Sto TT" w:cs="Arial"/>
          <w:i/>
          <w:iCs/>
          <w:sz w:val="18"/>
          <w:szCs w:val="18"/>
          <w:u w:val="single"/>
        </w:rPr>
        <w:t>Peinture minérale :</w:t>
      </w:r>
      <w:r w:rsidRPr="00D7468F">
        <w:rPr>
          <w:rFonts w:ascii="Sto TT" w:hAnsi="Sto TT" w:cs="Arial"/>
          <w:sz w:val="18"/>
          <w:szCs w:val="18"/>
        </w:rPr>
        <w:t xml:space="preserve"> </w:t>
      </w:r>
      <w:r w:rsidRPr="00D7468F">
        <w:rPr>
          <w:rFonts w:ascii="Sto TT" w:hAnsi="Sto TT" w:cs="Arial"/>
          <w:b/>
          <w:bCs/>
          <w:sz w:val="18"/>
          <w:szCs w:val="18"/>
        </w:rPr>
        <w:t>StoColor Solical</w:t>
      </w:r>
    </w:p>
    <w:p w14:paraId="786C9A19" w14:textId="764F5512" w:rsidR="0017434C" w:rsidRPr="00D7468F" w:rsidRDefault="0017434C" w:rsidP="004B33F6">
      <w:pPr>
        <w:ind w:right="1"/>
        <w:rPr>
          <w:rFonts w:ascii="Sto TT" w:hAnsi="Sto TT" w:cs="Arial"/>
          <w:sz w:val="18"/>
          <w:szCs w:val="18"/>
        </w:rPr>
      </w:pPr>
      <w:r w:rsidRPr="00D7468F">
        <w:rPr>
          <w:rFonts w:ascii="Sto TT" w:hAnsi="Sto TT" w:cs="Arial"/>
          <w:sz w:val="18"/>
          <w:szCs w:val="18"/>
        </w:rPr>
        <w:br w:type="page"/>
      </w:r>
    </w:p>
    <w:p w14:paraId="7960AB49" w14:textId="77777777" w:rsidR="0017434C" w:rsidRPr="00D7468F" w:rsidRDefault="0017434C" w:rsidP="0017434C">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E74B5" w:themeColor="accent5" w:themeShade="BF"/>
          <w:sz w:val="22"/>
          <w:szCs w:val="22"/>
        </w:rPr>
      </w:pPr>
      <w:r w:rsidRPr="00D7468F">
        <w:rPr>
          <w:rFonts w:ascii="Sto TT" w:eastAsia="Verdana" w:hAnsi="Sto TT" w:cs="Arial"/>
          <w:b/>
          <w:bCs/>
          <w:color w:val="2E74B5" w:themeColor="accent5" w:themeShade="BF"/>
          <w:sz w:val="22"/>
          <w:szCs w:val="22"/>
        </w:rPr>
        <w:lastRenderedPageBreak/>
        <w:t>StoElement Fauna</w:t>
      </w:r>
    </w:p>
    <w:p w14:paraId="0C98199E" w14:textId="77777777" w:rsidR="0017434C" w:rsidRPr="00D7468F" w:rsidRDefault="0017434C" w:rsidP="0017434C">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18"/>
          <w:szCs w:val="18"/>
        </w:rPr>
      </w:pPr>
      <w:r w:rsidRPr="00D7468F">
        <w:rPr>
          <w:rFonts w:ascii="Sto TT" w:eastAsia="Verdana" w:hAnsi="Sto TT" w:cs="Arial"/>
          <w:sz w:val="18"/>
          <w:szCs w:val="18"/>
        </w:rPr>
        <w:t>Accueil de la Biodiversité sur les façades</w:t>
      </w:r>
    </w:p>
    <w:p w14:paraId="421B6CE2" w14:textId="77777777" w:rsidR="0017434C" w:rsidRPr="00D7468F" w:rsidRDefault="0017434C" w:rsidP="0017434C">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9D78B8" w:rsidRPr="00D7468F" w14:paraId="49A9389B" w14:textId="77777777" w:rsidTr="00E80E5E">
        <w:trPr>
          <w:trHeight w:val="209"/>
        </w:trPr>
        <w:tc>
          <w:tcPr>
            <w:tcW w:w="2580" w:type="dxa"/>
            <w:tcBorders>
              <w:top w:val="single" w:sz="4" w:space="0" w:color="auto"/>
            </w:tcBorders>
          </w:tcPr>
          <w:p w14:paraId="312CF391" w14:textId="6CEB3107" w:rsidR="009D78B8" w:rsidRPr="00D7468F" w:rsidRDefault="009D78B8" w:rsidP="009D78B8">
            <w:pPr>
              <w:jc w:val="center"/>
              <w:rPr>
                <w:rFonts w:ascii="Sto TT" w:eastAsia="Verdana" w:hAnsi="Sto TT" w:cs="Arial"/>
                <w:b/>
                <w:bCs/>
                <w:sz w:val="18"/>
                <w:szCs w:val="18"/>
              </w:rPr>
            </w:pPr>
            <w:r w:rsidRPr="00D7468F">
              <w:rPr>
                <w:rFonts w:ascii="Sto TT" w:eastAsia="Verdana" w:hAnsi="Sto TT" w:cs="Arial"/>
                <w:b/>
                <w:bCs/>
                <w:sz w:val="18"/>
                <w:szCs w:val="18"/>
              </w:rPr>
              <w:t>StoElement Fauna</w:t>
            </w:r>
          </w:p>
        </w:tc>
        <w:tc>
          <w:tcPr>
            <w:tcW w:w="2580" w:type="dxa"/>
            <w:tcBorders>
              <w:top w:val="single" w:sz="4" w:space="0" w:color="auto"/>
            </w:tcBorders>
          </w:tcPr>
          <w:p w14:paraId="2488D6DF" w14:textId="3C07A461" w:rsidR="009D78B8" w:rsidRPr="00D7468F" w:rsidRDefault="009D78B8" w:rsidP="009D78B8">
            <w:pPr>
              <w:jc w:val="center"/>
              <w:rPr>
                <w:rFonts w:ascii="Sto TT" w:eastAsia="Verdana" w:hAnsi="Sto TT" w:cs="Arial"/>
                <w:b/>
                <w:bCs/>
                <w:sz w:val="18"/>
                <w:szCs w:val="18"/>
              </w:rPr>
            </w:pPr>
            <w:r w:rsidRPr="00D7468F">
              <w:rPr>
                <w:rFonts w:ascii="Sto TT" w:eastAsia="Verdana" w:hAnsi="Sto TT" w:cs="Arial"/>
                <w:b/>
                <w:bCs/>
                <w:sz w:val="18"/>
                <w:szCs w:val="18"/>
              </w:rPr>
              <w:t>Espèce ciblée</w:t>
            </w:r>
          </w:p>
        </w:tc>
        <w:tc>
          <w:tcPr>
            <w:tcW w:w="2581" w:type="dxa"/>
            <w:tcBorders>
              <w:top w:val="single" w:sz="4" w:space="0" w:color="auto"/>
            </w:tcBorders>
          </w:tcPr>
          <w:p w14:paraId="30A7F0A5" w14:textId="246FC6F8" w:rsidR="009D78B8" w:rsidRPr="00D7468F" w:rsidRDefault="009D78B8" w:rsidP="009D78B8">
            <w:pPr>
              <w:jc w:val="center"/>
              <w:rPr>
                <w:rFonts w:ascii="Sto TT" w:eastAsia="Verdana" w:hAnsi="Sto TT" w:cs="Arial"/>
                <w:b/>
                <w:bCs/>
                <w:sz w:val="18"/>
                <w:szCs w:val="18"/>
              </w:rPr>
            </w:pPr>
            <w:r w:rsidRPr="00D7468F">
              <w:rPr>
                <w:rFonts w:ascii="Sto TT" w:eastAsia="Verdana" w:hAnsi="Sto TT" w:cs="Arial"/>
                <w:b/>
                <w:bCs/>
                <w:sz w:val="18"/>
                <w:szCs w:val="18"/>
              </w:rPr>
              <w:t>Type d’application</w:t>
            </w:r>
          </w:p>
        </w:tc>
        <w:tc>
          <w:tcPr>
            <w:tcW w:w="2581" w:type="dxa"/>
            <w:tcBorders>
              <w:top w:val="single" w:sz="4" w:space="0" w:color="auto"/>
            </w:tcBorders>
          </w:tcPr>
          <w:p w14:paraId="35C7B64B" w14:textId="4085349D" w:rsidR="009D78B8" w:rsidRPr="00D7468F" w:rsidRDefault="009D78B8" w:rsidP="009D78B8">
            <w:pPr>
              <w:jc w:val="center"/>
              <w:rPr>
                <w:rFonts w:ascii="Sto TT" w:eastAsia="Verdana" w:hAnsi="Sto TT" w:cs="Arial"/>
                <w:b/>
                <w:bCs/>
                <w:sz w:val="18"/>
                <w:szCs w:val="18"/>
              </w:rPr>
            </w:pPr>
            <w:r w:rsidRPr="00D7468F">
              <w:rPr>
                <w:rFonts w:ascii="Sto TT" w:eastAsia="Verdana" w:hAnsi="Sto TT" w:cs="Arial"/>
                <w:b/>
                <w:bCs/>
                <w:sz w:val="18"/>
                <w:szCs w:val="18"/>
              </w:rPr>
              <w:t>Fixation</w:t>
            </w:r>
          </w:p>
        </w:tc>
      </w:tr>
      <w:tr w:rsidR="009D78B8" w:rsidRPr="00D7468F" w14:paraId="21F109E4" w14:textId="77777777" w:rsidTr="00E80E5E">
        <w:trPr>
          <w:trHeight w:val="1223"/>
        </w:trPr>
        <w:tc>
          <w:tcPr>
            <w:tcW w:w="2580" w:type="dxa"/>
            <w:vAlign w:val="center"/>
          </w:tcPr>
          <w:p w14:paraId="2896A2F2" w14:textId="77777777" w:rsidR="009D78B8" w:rsidRPr="00D7468F" w:rsidRDefault="009D78B8" w:rsidP="009D78B8">
            <w:pPr>
              <w:jc w:val="center"/>
              <w:rPr>
                <w:rFonts w:ascii="Sto TT" w:eastAsia="Verdana" w:hAnsi="Sto TT" w:cs="Arial"/>
                <w:b/>
                <w:bCs/>
                <w:sz w:val="18"/>
                <w:szCs w:val="18"/>
              </w:rPr>
            </w:pPr>
            <w:r w:rsidRPr="00D7468F">
              <w:rPr>
                <w:rFonts w:ascii="Sto TT" w:eastAsia="Verdana" w:hAnsi="Sto TT" w:cs="Arial"/>
                <w:b/>
                <w:bCs/>
                <w:sz w:val="18"/>
                <w:szCs w:val="18"/>
              </w:rPr>
              <w:t>MS-I 10</w:t>
            </w:r>
          </w:p>
          <w:p w14:paraId="6037EA02" w14:textId="35F5F2CF" w:rsidR="009D78B8" w:rsidRPr="00D7468F" w:rsidRDefault="009D78B8" w:rsidP="009D78B8">
            <w:pPr>
              <w:jc w:val="center"/>
              <w:rPr>
                <w:rFonts w:ascii="Sto TT" w:eastAsia="Verdana" w:hAnsi="Sto TT" w:cs="Arial"/>
                <w:b/>
                <w:bCs/>
                <w:sz w:val="18"/>
                <w:szCs w:val="18"/>
              </w:rPr>
            </w:pPr>
            <w:r w:rsidRPr="00D7468F">
              <w:rPr>
                <w:rFonts w:ascii="Sto TT" w:hAnsi="Sto TT" w:cs="Arial"/>
                <w:b/>
                <w:bCs/>
                <w:noProof/>
                <w:sz w:val="18"/>
                <w:szCs w:val="18"/>
              </w:rPr>
              <w:drawing>
                <wp:inline distT="0" distB="0" distL="0" distR="0" wp14:anchorId="3770C152" wp14:editId="7BB5439F">
                  <wp:extent cx="828000" cy="828000"/>
                  <wp:effectExtent l="0" t="0" r="0" b="0"/>
                  <wp:docPr id="131898172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FFAB40F"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Martinet noir</w:t>
            </w:r>
          </w:p>
          <w:p w14:paraId="4D1C0A00" w14:textId="2FDA8EAC" w:rsidR="009D78B8" w:rsidRPr="00D7468F" w:rsidRDefault="009D78B8" w:rsidP="009D78B8">
            <w:pPr>
              <w:jc w:val="center"/>
              <w:rPr>
                <w:rFonts w:ascii="Sto TT" w:eastAsia="Verdana" w:hAnsi="Sto TT" w:cs="Arial"/>
                <w:sz w:val="18"/>
                <w:szCs w:val="18"/>
              </w:rPr>
            </w:pPr>
            <w:r w:rsidRPr="00D7468F">
              <w:rPr>
                <w:rFonts w:ascii="Sto TT" w:hAnsi="Sto TT"/>
                <w:noProof/>
                <w:sz w:val="18"/>
                <w:szCs w:val="18"/>
              </w:rPr>
              <w:drawing>
                <wp:inline distT="0" distB="0" distL="0" distR="0" wp14:anchorId="6EA0338C" wp14:editId="3DA48C2C">
                  <wp:extent cx="828000" cy="687600"/>
                  <wp:effectExtent l="0" t="0" r="0" b="0"/>
                  <wp:docPr id="30920060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5A236B97"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Encastré – ITE 160mm (mini)</w:t>
            </w:r>
          </w:p>
          <w:p w14:paraId="1BE356B3"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Non accessible (2,5m)</w:t>
            </w:r>
          </w:p>
          <w:p w14:paraId="7B81D881"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Non exposé aux éléments (soleil – pluie)</w:t>
            </w:r>
          </w:p>
          <w:p w14:paraId="1DF3E7C3" w14:textId="3F5BD801"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Façade Nord ou Est de préférence</w:t>
            </w:r>
          </w:p>
        </w:tc>
        <w:tc>
          <w:tcPr>
            <w:tcW w:w="2581" w:type="dxa"/>
            <w:vAlign w:val="center"/>
          </w:tcPr>
          <w:p w14:paraId="310EDAEA" w14:textId="14286022"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Collé et mousser les bords après la pose avec Sto-Mousse Polyuréthane Pistolable</w:t>
            </w:r>
          </w:p>
        </w:tc>
      </w:tr>
      <w:tr w:rsidR="009D78B8" w:rsidRPr="00D7468F" w14:paraId="677420B8" w14:textId="77777777" w:rsidTr="00E80E5E">
        <w:trPr>
          <w:trHeight w:val="197"/>
        </w:trPr>
        <w:tc>
          <w:tcPr>
            <w:tcW w:w="2580" w:type="dxa"/>
            <w:vAlign w:val="center"/>
          </w:tcPr>
          <w:p w14:paraId="576FB4A7" w14:textId="77777777" w:rsidR="009D78B8" w:rsidRPr="00D7468F" w:rsidRDefault="009D78B8" w:rsidP="009D78B8">
            <w:pPr>
              <w:jc w:val="center"/>
              <w:rPr>
                <w:rFonts w:ascii="Sto TT" w:eastAsia="Verdana" w:hAnsi="Sto TT" w:cs="Arial"/>
                <w:b/>
                <w:bCs/>
                <w:sz w:val="18"/>
                <w:szCs w:val="18"/>
              </w:rPr>
            </w:pPr>
            <w:r w:rsidRPr="00D7468F">
              <w:rPr>
                <w:rFonts w:ascii="Sto TT" w:eastAsia="Verdana" w:hAnsi="Sto TT" w:cs="Arial"/>
                <w:b/>
                <w:bCs/>
                <w:sz w:val="18"/>
                <w:szCs w:val="18"/>
              </w:rPr>
              <w:t>MS-I 11</w:t>
            </w:r>
          </w:p>
          <w:p w14:paraId="45C0C1EA" w14:textId="73724999" w:rsidR="009D78B8" w:rsidRPr="00D7468F" w:rsidRDefault="009D78B8" w:rsidP="009D78B8">
            <w:pPr>
              <w:jc w:val="center"/>
              <w:rPr>
                <w:rFonts w:ascii="Sto TT" w:eastAsia="Verdana" w:hAnsi="Sto TT" w:cs="Arial"/>
                <w:b/>
                <w:bCs/>
                <w:sz w:val="18"/>
                <w:szCs w:val="18"/>
              </w:rPr>
            </w:pPr>
            <w:r w:rsidRPr="00D7468F">
              <w:rPr>
                <w:rFonts w:ascii="Sto TT" w:hAnsi="Sto TT" w:cs="Arial"/>
                <w:b/>
                <w:bCs/>
                <w:noProof/>
                <w:sz w:val="18"/>
                <w:szCs w:val="18"/>
              </w:rPr>
              <w:drawing>
                <wp:inline distT="0" distB="0" distL="0" distR="0" wp14:anchorId="027E781C" wp14:editId="48D271A9">
                  <wp:extent cx="828000" cy="828000"/>
                  <wp:effectExtent l="0" t="0" r="0" b="0"/>
                  <wp:docPr id="2132221825"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7AB4AAB4"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Martinet noir (ouvrable)</w:t>
            </w:r>
          </w:p>
          <w:p w14:paraId="2B735281" w14:textId="0005B7B3" w:rsidR="009D78B8" w:rsidRPr="00D7468F" w:rsidRDefault="009D78B8" w:rsidP="009D78B8">
            <w:pPr>
              <w:jc w:val="center"/>
              <w:rPr>
                <w:rFonts w:ascii="Sto TT" w:eastAsia="Verdana" w:hAnsi="Sto TT" w:cs="Arial"/>
                <w:sz w:val="18"/>
                <w:szCs w:val="18"/>
              </w:rPr>
            </w:pPr>
            <w:r w:rsidRPr="00D7468F">
              <w:rPr>
                <w:rFonts w:ascii="Sto TT" w:hAnsi="Sto TT"/>
                <w:noProof/>
                <w:sz w:val="18"/>
                <w:szCs w:val="18"/>
              </w:rPr>
              <w:drawing>
                <wp:inline distT="0" distB="0" distL="0" distR="0" wp14:anchorId="76650EB0" wp14:editId="3E46CFF4">
                  <wp:extent cx="828000" cy="687600"/>
                  <wp:effectExtent l="0" t="0" r="0" b="0"/>
                  <wp:docPr id="1101242667"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1F33D6C1"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Encastré – ITE 160mm (mini)</w:t>
            </w:r>
          </w:p>
          <w:p w14:paraId="22C2709F"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Non accessible (2,5m)</w:t>
            </w:r>
          </w:p>
          <w:p w14:paraId="18675AAE"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Non exposé aux éléments (soleil – pluie)</w:t>
            </w:r>
          </w:p>
          <w:p w14:paraId="71A6FD0C" w14:textId="500E93A9"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Façade Nord ou Est de préférence</w:t>
            </w:r>
          </w:p>
        </w:tc>
        <w:tc>
          <w:tcPr>
            <w:tcW w:w="2581" w:type="dxa"/>
            <w:vAlign w:val="center"/>
          </w:tcPr>
          <w:p w14:paraId="2E46A6A7" w14:textId="6EA027B3"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Collé et mousser les bords après la pose avec Sto-Mousse Polyuréthane Pistolable</w:t>
            </w:r>
          </w:p>
        </w:tc>
      </w:tr>
      <w:tr w:rsidR="009D78B8" w:rsidRPr="00D7468F" w14:paraId="31A6823F" w14:textId="77777777" w:rsidTr="00E80E5E">
        <w:trPr>
          <w:trHeight w:val="1604"/>
        </w:trPr>
        <w:tc>
          <w:tcPr>
            <w:tcW w:w="2580" w:type="dxa"/>
            <w:vAlign w:val="center"/>
          </w:tcPr>
          <w:p w14:paraId="0EE2833A" w14:textId="77777777" w:rsidR="009D78B8" w:rsidRPr="00D7468F" w:rsidRDefault="009D78B8" w:rsidP="009D78B8">
            <w:pPr>
              <w:jc w:val="center"/>
              <w:rPr>
                <w:rFonts w:ascii="Sto TT" w:eastAsia="Verdana" w:hAnsi="Sto TT" w:cs="Arial"/>
                <w:b/>
                <w:bCs/>
                <w:sz w:val="18"/>
                <w:szCs w:val="18"/>
              </w:rPr>
            </w:pPr>
            <w:r w:rsidRPr="00D7468F">
              <w:rPr>
                <w:rFonts w:ascii="Sto TT" w:eastAsia="Verdana" w:hAnsi="Sto TT" w:cs="Arial"/>
                <w:b/>
                <w:bCs/>
                <w:sz w:val="18"/>
                <w:szCs w:val="18"/>
              </w:rPr>
              <w:t>FM-I 10</w:t>
            </w:r>
          </w:p>
          <w:p w14:paraId="50C4EF10" w14:textId="22D10643" w:rsidR="009D78B8" w:rsidRPr="00D7468F" w:rsidRDefault="009D78B8" w:rsidP="009D78B8">
            <w:pPr>
              <w:jc w:val="center"/>
              <w:rPr>
                <w:rFonts w:ascii="Sto TT" w:eastAsia="Verdana" w:hAnsi="Sto TT" w:cs="Arial"/>
                <w:b/>
                <w:bCs/>
                <w:sz w:val="18"/>
                <w:szCs w:val="18"/>
              </w:rPr>
            </w:pPr>
            <w:r w:rsidRPr="00D7468F">
              <w:rPr>
                <w:rFonts w:ascii="Sto TT" w:hAnsi="Sto TT" w:cs="Arial"/>
                <w:b/>
                <w:bCs/>
                <w:noProof/>
                <w:sz w:val="18"/>
                <w:szCs w:val="18"/>
              </w:rPr>
              <w:drawing>
                <wp:inline distT="0" distB="0" distL="0" distR="0" wp14:anchorId="47EA090A" wp14:editId="78699028">
                  <wp:extent cx="828000" cy="828000"/>
                  <wp:effectExtent l="0" t="0" r="0" b="0"/>
                  <wp:docPr id="238739366"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D7F4DD6"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Chauve-souris</w:t>
            </w:r>
          </w:p>
          <w:p w14:paraId="528CA8CE" w14:textId="07D9E51C" w:rsidR="009D78B8" w:rsidRPr="00D7468F" w:rsidRDefault="009D78B8" w:rsidP="009D78B8">
            <w:pPr>
              <w:jc w:val="center"/>
              <w:rPr>
                <w:rFonts w:ascii="Sto TT" w:eastAsia="Verdana" w:hAnsi="Sto TT" w:cs="Arial"/>
                <w:sz w:val="18"/>
                <w:szCs w:val="18"/>
              </w:rPr>
            </w:pPr>
            <w:r w:rsidRPr="00D7468F">
              <w:rPr>
                <w:rFonts w:ascii="Sto TT" w:hAnsi="Sto TT"/>
                <w:noProof/>
                <w:sz w:val="18"/>
                <w:szCs w:val="18"/>
              </w:rPr>
              <w:drawing>
                <wp:inline distT="0" distB="0" distL="0" distR="0" wp14:anchorId="4D3718E5" wp14:editId="346FC0DE">
                  <wp:extent cx="828000" cy="828000"/>
                  <wp:effectExtent l="0" t="0" r="0" b="0"/>
                  <wp:docPr id="1405997779"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37B5C2ED"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Encastré – ITE 130mm (mini)</w:t>
            </w:r>
          </w:p>
          <w:p w14:paraId="5303D34A"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Non accessible (2,5m)</w:t>
            </w:r>
          </w:p>
          <w:p w14:paraId="54CDABE0"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Non exposé aux éléments (soleil – pluie)</w:t>
            </w:r>
          </w:p>
          <w:p w14:paraId="34328C1B" w14:textId="7147A316"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Façade Nord ou Est de préférence</w:t>
            </w:r>
          </w:p>
        </w:tc>
        <w:tc>
          <w:tcPr>
            <w:tcW w:w="2581" w:type="dxa"/>
            <w:vAlign w:val="center"/>
          </w:tcPr>
          <w:p w14:paraId="1235B67D" w14:textId="4D6500E8"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Collé et mousser les bords après la pose avec Sto-Mousse Polyuréthane Pistolable</w:t>
            </w:r>
          </w:p>
        </w:tc>
      </w:tr>
      <w:tr w:rsidR="009D78B8" w:rsidRPr="00D7468F" w14:paraId="7BE1DDF1" w14:textId="77777777" w:rsidTr="00E80E5E">
        <w:trPr>
          <w:trHeight w:val="1639"/>
        </w:trPr>
        <w:tc>
          <w:tcPr>
            <w:tcW w:w="2580" w:type="dxa"/>
            <w:vAlign w:val="center"/>
          </w:tcPr>
          <w:p w14:paraId="63DC68E3" w14:textId="77777777" w:rsidR="009D78B8" w:rsidRPr="00D7468F" w:rsidRDefault="009D78B8" w:rsidP="009D78B8">
            <w:pPr>
              <w:jc w:val="center"/>
              <w:rPr>
                <w:rFonts w:ascii="Sto TT" w:eastAsia="Verdana" w:hAnsi="Sto TT" w:cs="Arial"/>
                <w:b/>
                <w:bCs/>
                <w:sz w:val="18"/>
                <w:szCs w:val="18"/>
              </w:rPr>
            </w:pPr>
            <w:r w:rsidRPr="00D7468F">
              <w:rPr>
                <w:rFonts w:ascii="Sto TT" w:eastAsia="Verdana" w:hAnsi="Sto TT" w:cs="Arial"/>
                <w:b/>
                <w:bCs/>
                <w:sz w:val="18"/>
                <w:szCs w:val="18"/>
              </w:rPr>
              <w:t>MS-F 20</w:t>
            </w:r>
          </w:p>
          <w:p w14:paraId="28EB05A2" w14:textId="19B0B345" w:rsidR="009D78B8" w:rsidRPr="00D7468F" w:rsidRDefault="009D78B8" w:rsidP="009D78B8">
            <w:pPr>
              <w:jc w:val="center"/>
              <w:rPr>
                <w:rFonts w:ascii="Sto TT" w:eastAsia="Verdana" w:hAnsi="Sto TT" w:cs="Arial"/>
                <w:b/>
                <w:bCs/>
                <w:sz w:val="18"/>
                <w:szCs w:val="18"/>
              </w:rPr>
            </w:pPr>
            <w:r w:rsidRPr="00D7468F">
              <w:rPr>
                <w:rFonts w:ascii="Sto TT" w:hAnsi="Sto TT" w:cs="Arial"/>
                <w:b/>
                <w:bCs/>
                <w:noProof/>
                <w:sz w:val="18"/>
                <w:szCs w:val="18"/>
              </w:rPr>
              <w:drawing>
                <wp:inline distT="0" distB="0" distL="0" distR="0" wp14:anchorId="2ADA19A3" wp14:editId="0C164534">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7E70136"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Martinet noir</w:t>
            </w:r>
          </w:p>
          <w:p w14:paraId="54A532A0" w14:textId="24266A08" w:rsidR="009D78B8" w:rsidRPr="00D7468F" w:rsidRDefault="009D78B8" w:rsidP="009D78B8">
            <w:pPr>
              <w:jc w:val="center"/>
              <w:rPr>
                <w:rFonts w:ascii="Sto TT" w:eastAsia="Verdana" w:hAnsi="Sto TT" w:cs="Arial"/>
                <w:sz w:val="18"/>
                <w:szCs w:val="18"/>
              </w:rPr>
            </w:pPr>
            <w:r w:rsidRPr="00D7468F">
              <w:rPr>
                <w:rFonts w:ascii="Sto TT" w:hAnsi="Sto TT"/>
                <w:noProof/>
                <w:sz w:val="18"/>
                <w:szCs w:val="18"/>
              </w:rPr>
              <w:drawing>
                <wp:inline distT="0" distB="0" distL="0" distR="0" wp14:anchorId="70BE8095" wp14:editId="5252255A">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093FA71" w14:textId="1583E6E2"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Applique</w:t>
            </w:r>
          </w:p>
        </w:tc>
        <w:tc>
          <w:tcPr>
            <w:tcW w:w="2581" w:type="dxa"/>
            <w:vAlign w:val="center"/>
          </w:tcPr>
          <w:p w14:paraId="43394AB7"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Chevillé (StoFix Iso-Dart)</w:t>
            </w:r>
          </w:p>
          <w:p w14:paraId="27FBA47B" w14:textId="07F42314" w:rsidR="009D78B8" w:rsidRPr="00D7468F" w:rsidRDefault="009D78B8" w:rsidP="009D78B8">
            <w:pPr>
              <w:jc w:val="center"/>
              <w:rPr>
                <w:rFonts w:ascii="Sto TT" w:eastAsia="Verdana" w:hAnsi="Sto TT" w:cs="Arial"/>
                <w:sz w:val="18"/>
                <w:szCs w:val="18"/>
              </w:rPr>
            </w:pPr>
            <w:r w:rsidRPr="00D7468F">
              <w:rPr>
                <w:rFonts w:ascii="Sto TT" w:hAnsi="Sto TT" w:cs="Arial"/>
                <w:color w:val="2E74B5" w:themeColor="accent5" w:themeShade="BF"/>
                <w:sz w:val="18"/>
                <w:szCs w:val="18"/>
              </w:rPr>
              <w:t>épaisseur isolant moins 20mm (retirer cheville plastique)</w:t>
            </w:r>
          </w:p>
        </w:tc>
      </w:tr>
      <w:tr w:rsidR="009D78B8" w:rsidRPr="00D7468F" w14:paraId="385E009B" w14:textId="77777777" w:rsidTr="00E80E5E">
        <w:trPr>
          <w:trHeight w:val="1652"/>
        </w:trPr>
        <w:tc>
          <w:tcPr>
            <w:tcW w:w="2580" w:type="dxa"/>
            <w:tcBorders>
              <w:bottom w:val="single" w:sz="4" w:space="0" w:color="auto"/>
            </w:tcBorders>
            <w:vAlign w:val="center"/>
          </w:tcPr>
          <w:p w14:paraId="6061B214" w14:textId="77777777" w:rsidR="009D78B8" w:rsidRPr="00D7468F" w:rsidRDefault="009D78B8" w:rsidP="009D78B8">
            <w:pPr>
              <w:jc w:val="center"/>
              <w:rPr>
                <w:rFonts w:ascii="Sto TT" w:eastAsia="Verdana" w:hAnsi="Sto TT" w:cs="Arial"/>
                <w:b/>
                <w:bCs/>
                <w:sz w:val="18"/>
                <w:szCs w:val="18"/>
              </w:rPr>
            </w:pPr>
            <w:r w:rsidRPr="00D7468F">
              <w:rPr>
                <w:rFonts w:ascii="Sto TT" w:eastAsia="Verdana" w:hAnsi="Sto TT" w:cs="Arial"/>
                <w:b/>
                <w:bCs/>
                <w:sz w:val="18"/>
                <w:szCs w:val="18"/>
              </w:rPr>
              <w:t>SP-F 20</w:t>
            </w:r>
          </w:p>
          <w:p w14:paraId="2F2D7C15" w14:textId="1EF99205" w:rsidR="009D78B8" w:rsidRPr="00D7468F" w:rsidRDefault="009D78B8" w:rsidP="009D78B8">
            <w:pPr>
              <w:jc w:val="center"/>
              <w:rPr>
                <w:rFonts w:ascii="Sto TT" w:eastAsia="Verdana" w:hAnsi="Sto TT" w:cs="Arial"/>
                <w:b/>
                <w:bCs/>
                <w:sz w:val="18"/>
                <w:szCs w:val="18"/>
              </w:rPr>
            </w:pPr>
            <w:r w:rsidRPr="00D7468F">
              <w:rPr>
                <w:rFonts w:ascii="Sto TT" w:hAnsi="Sto TT" w:cs="Arial"/>
                <w:b/>
                <w:bCs/>
                <w:noProof/>
                <w:sz w:val="18"/>
                <w:szCs w:val="18"/>
              </w:rPr>
              <w:drawing>
                <wp:inline distT="0" distB="0" distL="0" distR="0" wp14:anchorId="67637ABE" wp14:editId="6E68BC50">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6DAF9F3E"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Moineau</w:t>
            </w:r>
          </w:p>
          <w:p w14:paraId="7369A7FF" w14:textId="057D0B42" w:rsidR="009D78B8" w:rsidRPr="00D7468F" w:rsidRDefault="009D78B8" w:rsidP="009D78B8">
            <w:pPr>
              <w:jc w:val="center"/>
              <w:rPr>
                <w:rFonts w:ascii="Sto TT" w:eastAsia="Verdana" w:hAnsi="Sto TT" w:cs="Arial"/>
                <w:sz w:val="18"/>
                <w:szCs w:val="18"/>
              </w:rPr>
            </w:pPr>
            <w:r w:rsidRPr="00D7468F">
              <w:rPr>
                <w:rFonts w:ascii="Sto TT" w:hAnsi="Sto TT"/>
                <w:noProof/>
                <w:sz w:val="18"/>
                <w:szCs w:val="18"/>
              </w:rPr>
              <w:drawing>
                <wp:inline distT="0" distB="0" distL="0" distR="0" wp14:anchorId="29258EA9" wp14:editId="4DEB2E0A">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375ECC8F" w14:textId="1C0F36C8"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Applique</w:t>
            </w:r>
          </w:p>
        </w:tc>
        <w:tc>
          <w:tcPr>
            <w:tcW w:w="2581" w:type="dxa"/>
            <w:tcBorders>
              <w:bottom w:val="single" w:sz="4" w:space="0" w:color="auto"/>
            </w:tcBorders>
            <w:vAlign w:val="center"/>
          </w:tcPr>
          <w:p w14:paraId="5CF24020"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Chevillé (StoFix Iso-Dart)</w:t>
            </w:r>
          </w:p>
          <w:p w14:paraId="4ADA6B95" w14:textId="5492E982" w:rsidR="009D78B8" w:rsidRPr="00D7468F" w:rsidRDefault="009D78B8" w:rsidP="009D78B8">
            <w:pPr>
              <w:jc w:val="center"/>
              <w:rPr>
                <w:rFonts w:ascii="Sto TT" w:eastAsia="Verdana" w:hAnsi="Sto TT" w:cs="Arial"/>
                <w:sz w:val="18"/>
                <w:szCs w:val="18"/>
              </w:rPr>
            </w:pPr>
            <w:r w:rsidRPr="00D7468F">
              <w:rPr>
                <w:rFonts w:ascii="Sto TT" w:hAnsi="Sto TT" w:cs="Arial"/>
                <w:color w:val="2E74B5" w:themeColor="accent5" w:themeShade="BF"/>
                <w:sz w:val="18"/>
                <w:szCs w:val="18"/>
              </w:rPr>
              <w:t>épaisseur isolant moins 20mm (retirer cheville plastique)</w:t>
            </w:r>
          </w:p>
        </w:tc>
      </w:tr>
      <w:tr w:rsidR="009D78B8" w:rsidRPr="00D7468F" w14:paraId="55D9A1A4" w14:textId="77777777" w:rsidTr="00E80E5E">
        <w:trPr>
          <w:trHeight w:val="1652"/>
        </w:trPr>
        <w:tc>
          <w:tcPr>
            <w:tcW w:w="2580" w:type="dxa"/>
            <w:tcBorders>
              <w:bottom w:val="single" w:sz="4" w:space="0" w:color="auto"/>
            </w:tcBorders>
            <w:vAlign w:val="center"/>
          </w:tcPr>
          <w:p w14:paraId="7A36E866" w14:textId="77777777" w:rsidR="009D78B8" w:rsidRPr="00D7468F" w:rsidRDefault="009D78B8" w:rsidP="009D78B8">
            <w:pPr>
              <w:jc w:val="center"/>
              <w:rPr>
                <w:rFonts w:ascii="Sto TT" w:eastAsia="Verdana" w:hAnsi="Sto TT" w:cs="Arial"/>
                <w:b/>
                <w:bCs/>
                <w:sz w:val="18"/>
                <w:szCs w:val="18"/>
              </w:rPr>
            </w:pPr>
            <w:r w:rsidRPr="00D7468F">
              <w:rPr>
                <w:rFonts w:ascii="Sto TT" w:eastAsia="Verdana" w:hAnsi="Sto TT" w:cs="Arial"/>
                <w:b/>
                <w:bCs/>
                <w:sz w:val="18"/>
                <w:szCs w:val="18"/>
              </w:rPr>
              <w:t>SW-F 20</w:t>
            </w:r>
          </w:p>
          <w:p w14:paraId="78E593A1" w14:textId="277E99E0" w:rsidR="009D78B8" w:rsidRPr="00D7468F" w:rsidRDefault="009D78B8" w:rsidP="009D78B8">
            <w:pPr>
              <w:jc w:val="center"/>
              <w:rPr>
                <w:rFonts w:ascii="Sto TT" w:eastAsia="Verdana" w:hAnsi="Sto TT" w:cs="Arial"/>
                <w:b/>
                <w:bCs/>
                <w:sz w:val="18"/>
                <w:szCs w:val="18"/>
              </w:rPr>
            </w:pPr>
            <w:r w:rsidRPr="00D7468F">
              <w:rPr>
                <w:rFonts w:ascii="Sto TT" w:hAnsi="Sto TT" w:cs="Arial"/>
                <w:b/>
                <w:bCs/>
                <w:noProof/>
                <w:sz w:val="18"/>
                <w:szCs w:val="18"/>
              </w:rPr>
              <w:drawing>
                <wp:inline distT="0" distB="0" distL="0" distR="0" wp14:anchorId="3EE1F3ED" wp14:editId="7D57A4DC">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4533D37F"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Hirondelle</w:t>
            </w:r>
          </w:p>
          <w:p w14:paraId="11A9DD5C" w14:textId="704583F4" w:rsidR="009D78B8" w:rsidRPr="00D7468F" w:rsidRDefault="009D78B8" w:rsidP="009D78B8">
            <w:pPr>
              <w:jc w:val="center"/>
              <w:rPr>
                <w:rFonts w:ascii="Sto TT" w:eastAsia="Verdana" w:hAnsi="Sto TT" w:cs="Arial"/>
                <w:sz w:val="18"/>
                <w:szCs w:val="18"/>
              </w:rPr>
            </w:pPr>
            <w:r w:rsidRPr="00D7468F">
              <w:rPr>
                <w:rFonts w:ascii="Sto TT" w:hAnsi="Sto TT"/>
                <w:noProof/>
                <w:sz w:val="18"/>
                <w:szCs w:val="18"/>
              </w:rPr>
              <w:drawing>
                <wp:inline distT="0" distB="0" distL="0" distR="0" wp14:anchorId="35E41928" wp14:editId="75A82047">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3C9DD6E8" w14:textId="5E2FDA4E"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Appliqu</w:t>
            </w:r>
            <w:r w:rsidR="00823403" w:rsidRPr="00D7468F">
              <w:rPr>
                <w:rFonts w:ascii="Sto TT" w:eastAsia="Verdana" w:hAnsi="Sto TT" w:cs="Arial"/>
                <w:sz w:val="18"/>
                <w:szCs w:val="18"/>
              </w:rPr>
              <w:t>e</w:t>
            </w:r>
            <w:r w:rsidRPr="00D7468F">
              <w:rPr>
                <w:rFonts w:ascii="Sto TT" w:eastAsia="Verdana" w:hAnsi="Sto TT" w:cs="Arial"/>
                <w:sz w:val="18"/>
                <w:szCs w:val="18"/>
              </w:rPr>
              <w:t xml:space="preserve"> (≥ 4 m)</w:t>
            </w:r>
          </w:p>
        </w:tc>
        <w:tc>
          <w:tcPr>
            <w:tcW w:w="2581" w:type="dxa"/>
            <w:tcBorders>
              <w:bottom w:val="single" w:sz="4" w:space="0" w:color="auto"/>
            </w:tcBorders>
            <w:vAlign w:val="center"/>
          </w:tcPr>
          <w:p w14:paraId="53FD15AE"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Chevillé (StoFix Iso-Dart)</w:t>
            </w:r>
          </w:p>
          <w:p w14:paraId="0E4A5CDF" w14:textId="2F359C79" w:rsidR="009D78B8" w:rsidRPr="00D7468F" w:rsidRDefault="009D78B8" w:rsidP="009D78B8">
            <w:pPr>
              <w:jc w:val="center"/>
              <w:rPr>
                <w:rFonts w:ascii="Sto TT" w:eastAsia="Verdana" w:hAnsi="Sto TT" w:cs="Arial"/>
                <w:sz w:val="18"/>
                <w:szCs w:val="18"/>
              </w:rPr>
            </w:pPr>
            <w:r w:rsidRPr="00D7468F">
              <w:rPr>
                <w:rFonts w:ascii="Sto TT" w:hAnsi="Sto TT" w:cs="Arial"/>
                <w:color w:val="2E74B5" w:themeColor="accent5" w:themeShade="BF"/>
                <w:sz w:val="18"/>
                <w:szCs w:val="18"/>
              </w:rPr>
              <w:t>épaisseur isolant moins 20mm (retirer cheville plastique)</w:t>
            </w:r>
          </w:p>
        </w:tc>
      </w:tr>
      <w:tr w:rsidR="009D78B8" w:rsidRPr="00D7468F" w14:paraId="63F0D5E6" w14:textId="77777777" w:rsidTr="00E80E5E">
        <w:trPr>
          <w:trHeight w:val="1652"/>
        </w:trPr>
        <w:tc>
          <w:tcPr>
            <w:tcW w:w="2580" w:type="dxa"/>
            <w:tcBorders>
              <w:bottom w:val="single" w:sz="4" w:space="0" w:color="auto"/>
            </w:tcBorders>
            <w:vAlign w:val="center"/>
          </w:tcPr>
          <w:p w14:paraId="15F545AD" w14:textId="77777777" w:rsidR="009D78B8" w:rsidRPr="00D7468F" w:rsidRDefault="009D78B8" w:rsidP="009D78B8">
            <w:pPr>
              <w:jc w:val="center"/>
              <w:rPr>
                <w:rFonts w:ascii="Sto TT" w:eastAsia="Verdana" w:hAnsi="Sto TT" w:cs="Arial"/>
                <w:b/>
                <w:bCs/>
                <w:sz w:val="18"/>
                <w:szCs w:val="18"/>
              </w:rPr>
            </w:pPr>
            <w:r w:rsidRPr="00D7468F">
              <w:rPr>
                <w:rFonts w:ascii="Sto TT" w:eastAsia="Verdana" w:hAnsi="Sto TT" w:cs="Arial"/>
                <w:b/>
                <w:bCs/>
                <w:sz w:val="18"/>
                <w:szCs w:val="18"/>
              </w:rPr>
              <w:t>FM-F 20</w:t>
            </w:r>
          </w:p>
          <w:p w14:paraId="3821623C" w14:textId="7D7EB165" w:rsidR="009D78B8" w:rsidRPr="00D7468F" w:rsidRDefault="009D78B8" w:rsidP="009D78B8">
            <w:pPr>
              <w:jc w:val="center"/>
              <w:rPr>
                <w:rFonts w:ascii="Sto TT" w:eastAsia="Verdana" w:hAnsi="Sto TT" w:cs="Arial"/>
                <w:b/>
                <w:bCs/>
                <w:sz w:val="18"/>
                <w:szCs w:val="18"/>
              </w:rPr>
            </w:pPr>
            <w:r w:rsidRPr="00D7468F">
              <w:rPr>
                <w:rFonts w:ascii="Sto TT" w:hAnsi="Sto TT" w:cs="Arial"/>
                <w:b/>
                <w:bCs/>
                <w:noProof/>
                <w:sz w:val="18"/>
                <w:szCs w:val="18"/>
              </w:rPr>
              <w:drawing>
                <wp:inline distT="0" distB="0" distL="0" distR="0" wp14:anchorId="00686EB3" wp14:editId="416B7802">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1EE2C81C"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Chauve-souris</w:t>
            </w:r>
          </w:p>
          <w:p w14:paraId="03EA9EC6" w14:textId="7D238D1F" w:rsidR="009D78B8" w:rsidRPr="00D7468F" w:rsidRDefault="009D78B8" w:rsidP="009D78B8">
            <w:pPr>
              <w:jc w:val="center"/>
              <w:rPr>
                <w:rFonts w:ascii="Sto TT" w:eastAsia="Verdana" w:hAnsi="Sto TT" w:cs="Arial"/>
                <w:sz w:val="18"/>
                <w:szCs w:val="18"/>
              </w:rPr>
            </w:pPr>
            <w:r w:rsidRPr="00D7468F">
              <w:rPr>
                <w:rFonts w:ascii="Sto TT" w:hAnsi="Sto TT"/>
                <w:noProof/>
                <w:sz w:val="18"/>
                <w:szCs w:val="18"/>
              </w:rPr>
              <w:drawing>
                <wp:inline distT="0" distB="0" distL="0" distR="0" wp14:anchorId="57E9CBE1" wp14:editId="0895CB62">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AD9B8D1" w14:textId="6FF9438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Applique (entrée par-dessous)</w:t>
            </w:r>
          </w:p>
        </w:tc>
        <w:tc>
          <w:tcPr>
            <w:tcW w:w="2581" w:type="dxa"/>
            <w:tcBorders>
              <w:bottom w:val="single" w:sz="4" w:space="0" w:color="auto"/>
            </w:tcBorders>
            <w:vAlign w:val="center"/>
          </w:tcPr>
          <w:p w14:paraId="4FB333B0" w14:textId="77777777" w:rsidR="009D78B8" w:rsidRPr="00D7468F" w:rsidRDefault="009D78B8" w:rsidP="009D78B8">
            <w:pPr>
              <w:jc w:val="center"/>
              <w:rPr>
                <w:rFonts w:ascii="Sto TT" w:eastAsia="Verdana" w:hAnsi="Sto TT" w:cs="Arial"/>
                <w:sz w:val="18"/>
                <w:szCs w:val="18"/>
              </w:rPr>
            </w:pPr>
            <w:r w:rsidRPr="00D7468F">
              <w:rPr>
                <w:rFonts w:ascii="Sto TT" w:eastAsia="Verdana" w:hAnsi="Sto TT" w:cs="Arial"/>
                <w:sz w:val="18"/>
                <w:szCs w:val="18"/>
              </w:rPr>
              <w:t>Chevillé (StoFix Iso-Dart)</w:t>
            </w:r>
          </w:p>
          <w:p w14:paraId="6D940E2D" w14:textId="28D2D83B" w:rsidR="009D78B8" w:rsidRPr="00D7468F" w:rsidRDefault="009D78B8" w:rsidP="009D78B8">
            <w:pPr>
              <w:jc w:val="center"/>
              <w:rPr>
                <w:rFonts w:ascii="Sto TT" w:eastAsia="Verdana" w:hAnsi="Sto TT" w:cs="Arial"/>
                <w:sz w:val="18"/>
                <w:szCs w:val="18"/>
              </w:rPr>
            </w:pPr>
            <w:r w:rsidRPr="00D7468F">
              <w:rPr>
                <w:rFonts w:ascii="Sto TT" w:hAnsi="Sto TT" w:cs="Arial"/>
                <w:color w:val="2E74B5" w:themeColor="accent5" w:themeShade="BF"/>
                <w:sz w:val="18"/>
                <w:szCs w:val="18"/>
              </w:rPr>
              <w:t>épaisseur isolant moins 20mm (retirer cheville plastique)</w:t>
            </w:r>
          </w:p>
        </w:tc>
      </w:tr>
    </w:tbl>
    <w:p w14:paraId="294AB4A5" w14:textId="77777777" w:rsidR="0017434C" w:rsidRPr="00D7468F" w:rsidRDefault="0017434C" w:rsidP="00A53FC9">
      <w:pPr>
        <w:ind w:left="-709"/>
        <w:jc w:val="both"/>
        <w:rPr>
          <w:rFonts w:ascii="Sto TT" w:eastAsia="Verdana" w:hAnsi="Sto TT" w:cs="Arial"/>
          <w:sz w:val="18"/>
          <w:szCs w:val="18"/>
        </w:rPr>
      </w:pPr>
      <w:r w:rsidRPr="00D7468F">
        <w:rPr>
          <w:rFonts w:ascii="Sto TT" w:eastAsia="Verdana" w:hAnsi="Sto TT" w:cs="Arial"/>
          <w:sz w:val="18"/>
          <w:szCs w:val="18"/>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3200DA7C" w14:textId="77777777" w:rsidR="0017434C" w:rsidRPr="00D7468F" w:rsidRDefault="0017434C" w:rsidP="00A53FC9">
      <w:pPr>
        <w:ind w:left="-709"/>
        <w:jc w:val="both"/>
        <w:rPr>
          <w:rFonts w:ascii="Sto TT" w:eastAsia="Verdana" w:hAnsi="Sto TT" w:cs="Arial"/>
          <w:sz w:val="18"/>
          <w:szCs w:val="18"/>
        </w:rPr>
      </w:pPr>
      <w:r w:rsidRPr="00D7468F">
        <w:rPr>
          <w:rFonts w:ascii="Sto TT" w:eastAsia="Verdana" w:hAnsi="Sto TT" w:cs="Arial"/>
          <w:sz w:val="18"/>
          <w:szCs w:val="18"/>
        </w:rPr>
        <w:t xml:space="preserve">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 </w:t>
      </w:r>
    </w:p>
    <w:p w14:paraId="65CA97E4" w14:textId="77777777" w:rsidR="0017434C" w:rsidRPr="00D7468F" w:rsidRDefault="0017434C" w:rsidP="0017434C">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E74B5" w:themeColor="accent5" w:themeShade="BF"/>
          <w:sz w:val="22"/>
          <w:szCs w:val="22"/>
        </w:rPr>
      </w:pPr>
      <w:r w:rsidRPr="00D7468F">
        <w:rPr>
          <w:rFonts w:ascii="Sto TT" w:eastAsia="Verdana" w:hAnsi="Sto TT" w:cs="Arial"/>
          <w:b/>
          <w:bCs/>
          <w:color w:val="2E74B5" w:themeColor="accent5" w:themeShade="BF"/>
          <w:sz w:val="22"/>
          <w:szCs w:val="22"/>
        </w:rPr>
        <w:lastRenderedPageBreak/>
        <w:t>Gamme StoFix</w:t>
      </w:r>
    </w:p>
    <w:p w14:paraId="283205A8" w14:textId="77777777" w:rsidR="0017434C" w:rsidRPr="006E7E37" w:rsidRDefault="0017434C" w:rsidP="0017434C">
      <w:pPr>
        <w:ind w:left="-709" w:right="1"/>
        <w:jc w:val="center"/>
        <w:rPr>
          <w:rFonts w:ascii="Sto TT" w:eastAsia="Verdana" w:hAnsi="Sto TT" w:cs="Arial"/>
          <w:b/>
          <w:bCs/>
          <w:sz w:val="16"/>
          <w:szCs w:val="16"/>
        </w:rPr>
      </w:pPr>
    </w:p>
    <w:p w14:paraId="220FD33A" w14:textId="008EE91B" w:rsidR="0017434C" w:rsidRPr="00D7468F" w:rsidRDefault="0017434C" w:rsidP="00E85501">
      <w:pPr>
        <w:ind w:left="-709" w:right="1"/>
        <w:jc w:val="both"/>
        <w:rPr>
          <w:rFonts w:ascii="Sto TT" w:eastAsia="Verdana" w:hAnsi="Sto TT" w:cs="Arial"/>
          <w:sz w:val="18"/>
          <w:szCs w:val="18"/>
        </w:rPr>
      </w:pPr>
      <w:r w:rsidRPr="00D7468F">
        <w:rPr>
          <w:rFonts w:ascii="Sto TT" w:eastAsia="Verdana" w:hAnsi="Sto TT" w:cs="Arial"/>
          <w:sz w:val="18"/>
          <w:szCs w:val="18"/>
        </w:rPr>
        <w:t xml:space="preserve">Le gamme StoFix permet la fixation de charges légères à lourdes sans pont thermique sur des système d’isolation extérieure en PSE, </w:t>
      </w:r>
      <w:r w:rsidR="00191653" w:rsidRPr="00D7468F">
        <w:rPr>
          <w:rFonts w:ascii="Sto TT" w:eastAsia="Verdana" w:hAnsi="Sto TT" w:cs="Arial"/>
          <w:sz w:val="18"/>
          <w:szCs w:val="18"/>
        </w:rPr>
        <w:t xml:space="preserve">fibre de bois </w:t>
      </w:r>
      <w:r w:rsidRPr="00D7468F">
        <w:rPr>
          <w:rFonts w:ascii="Sto TT" w:eastAsia="Verdana" w:hAnsi="Sto TT" w:cs="Arial"/>
          <w:sz w:val="18"/>
          <w:szCs w:val="18"/>
        </w:rPr>
        <w:t>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54271FB3" w14:textId="77777777" w:rsidR="0017434C" w:rsidRPr="00D7468F" w:rsidRDefault="0017434C" w:rsidP="0017434C">
      <w:pPr>
        <w:ind w:left="-709" w:right="1"/>
        <w:rPr>
          <w:rFonts w:ascii="Sto TT" w:eastAsia="Verdana" w:hAnsi="Sto TT" w:cs="Arial"/>
          <w:sz w:val="18"/>
          <w:szCs w:val="1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D053C0" w:rsidRPr="00D7468F" w14:paraId="750DFC44" w14:textId="77777777" w:rsidTr="00D053C0">
        <w:trPr>
          <w:trHeight w:val="416"/>
        </w:trPr>
        <w:tc>
          <w:tcPr>
            <w:tcW w:w="1864" w:type="dxa"/>
            <w:tcBorders>
              <w:top w:val="single" w:sz="4" w:space="0" w:color="auto"/>
              <w:left w:val="single" w:sz="4" w:space="0" w:color="auto"/>
              <w:bottom w:val="single" w:sz="4" w:space="0" w:color="auto"/>
              <w:right w:val="single" w:sz="4" w:space="0" w:color="auto"/>
            </w:tcBorders>
            <w:vAlign w:val="center"/>
          </w:tcPr>
          <w:p w14:paraId="7BF808BD" w14:textId="48EAB0B9" w:rsidR="00D053C0" w:rsidRPr="00D7468F" w:rsidRDefault="00D053C0" w:rsidP="00D053C0">
            <w:pPr>
              <w:jc w:val="center"/>
              <w:rPr>
                <w:rFonts w:ascii="Sto TT" w:hAnsi="Sto TT" w:cs="Arial"/>
                <w:b/>
                <w:bCs/>
                <w:sz w:val="18"/>
                <w:szCs w:val="18"/>
              </w:rPr>
            </w:pPr>
            <w:r w:rsidRPr="00D7468F">
              <w:rPr>
                <w:rFonts w:ascii="Sto TT" w:hAnsi="Sto TT" w:cs="Arial"/>
                <w:b/>
                <w:bCs/>
                <w:sz w:val="18"/>
                <w:szCs w:val="18"/>
              </w:rPr>
              <w:t>StoFix</w:t>
            </w:r>
          </w:p>
        </w:tc>
        <w:tc>
          <w:tcPr>
            <w:tcW w:w="1663" w:type="dxa"/>
            <w:tcBorders>
              <w:top w:val="single" w:sz="4" w:space="0" w:color="auto"/>
              <w:left w:val="single" w:sz="4" w:space="0" w:color="auto"/>
              <w:bottom w:val="single" w:sz="4" w:space="0" w:color="auto"/>
              <w:right w:val="single" w:sz="4" w:space="0" w:color="auto"/>
            </w:tcBorders>
            <w:vAlign w:val="center"/>
          </w:tcPr>
          <w:p w14:paraId="75743E62" w14:textId="510C0977" w:rsidR="00D053C0" w:rsidRPr="00D7468F" w:rsidRDefault="00D053C0" w:rsidP="00D053C0">
            <w:pPr>
              <w:jc w:val="center"/>
              <w:rPr>
                <w:rFonts w:ascii="Sto TT" w:hAnsi="Sto TT" w:cs="Arial"/>
                <w:b/>
                <w:bCs/>
                <w:sz w:val="18"/>
                <w:szCs w:val="18"/>
              </w:rPr>
            </w:pPr>
            <w:r w:rsidRPr="00D7468F">
              <w:rPr>
                <w:rFonts w:ascii="Sto TT" w:hAnsi="Sto TT" w:cs="Arial"/>
                <w:b/>
                <w:bCs/>
                <w:sz w:val="18"/>
                <w:szCs w:val="18"/>
              </w:rPr>
              <w:t>Fonction</w:t>
            </w:r>
          </w:p>
        </w:tc>
        <w:tc>
          <w:tcPr>
            <w:tcW w:w="1454" w:type="dxa"/>
            <w:tcBorders>
              <w:top w:val="single" w:sz="4" w:space="0" w:color="auto"/>
              <w:left w:val="single" w:sz="4" w:space="0" w:color="auto"/>
              <w:bottom w:val="single" w:sz="4" w:space="0" w:color="auto"/>
              <w:right w:val="single" w:sz="4" w:space="0" w:color="auto"/>
            </w:tcBorders>
            <w:vAlign w:val="center"/>
          </w:tcPr>
          <w:p w14:paraId="078A1C08" w14:textId="3F0DAACC" w:rsidR="00D053C0" w:rsidRPr="00D7468F" w:rsidRDefault="00D053C0" w:rsidP="00D053C0">
            <w:pPr>
              <w:jc w:val="center"/>
              <w:rPr>
                <w:rFonts w:ascii="Sto TT" w:hAnsi="Sto TT" w:cs="Arial"/>
                <w:b/>
                <w:bCs/>
                <w:sz w:val="18"/>
                <w:szCs w:val="18"/>
              </w:rPr>
            </w:pPr>
            <w:r w:rsidRPr="00D7468F">
              <w:rPr>
                <w:rFonts w:ascii="Sto TT" w:hAnsi="Sto TT" w:cs="Arial"/>
                <w:b/>
                <w:bCs/>
                <w:sz w:val="18"/>
                <w:szCs w:val="18"/>
              </w:rPr>
              <w:t>Charge éléments</w:t>
            </w:r>
          </w:p>
        </w:tc>
        <w:tc>
          <w:tcPr>
            <w:tcW w:w="2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621E12" w14:textId="77777777" w:rsidR="00D053C0" w:rsidRPr="00D7468F" w:rsidRDefault="00D053C0" w:rsidP="00D053C0">
            <w:pPr>
              <w:jc w:val="center"/>
              <w:rPr>
                <w:rFonts w:ascii="Sto TT" w:hAnsi="Sto TT" w:cs="Arial"/>
                <w:b/>
                <w:bCs/>
                <w:sz w:val="18"/>
                <w:szCs w:val="18"/>
              </w:rPr>
            </w:pPr>
          </w:p>
        </w:tc>
        <w:tc>
          <w:tcPr>
            <w:tcW w:w="1864" w:type="dxa"/>
            <w:tcBorders>
              <w:top w:val="single" w:sz="4" w:space="0" w:color="auto"/>
              <w:left w:val="single" w:sz="4" w:space="0" w:color="auto"/>
              <w:bottom w:val="single" w:sz="4" w:space="0" w:color="auto"/>
              <w:right w:val="single" w:sz="4" w:space="0" w:color="auto"/>
            </w:tcBorders>
            <w:vAlign w:val="center"/>
          </w:tcPr>
          <w:p w14:paraId="47287719" w14:textId="5ADECBE5" w:rsidR="00D053C0" w:rsidRPr="00D7468F" w:rsidRDefault="00D053C0" w:rsidP="00D053C0">
            <w:pPr>
              <w:jc w:val="center"/>
              <w:rPr>
                <w:rFonts w:ascii="Sto TT" w:hAnsi="Sto TT" w:cs="Arial"/>
                <w:b/>
                <w:bCs/>
                <w:sz w:val="18"/>
                <w:szCs w:val="18"/>
              </w:rPr>
            </w:pPr>
            <w:r w:rsidRPr="00D7468F">
              <w:rPr>
                <w:rFonts w:ascii="Sto TT" w:hAnsi="Sto TT" w:cs="Arial"/>
                <w:b/>
                <w:bCs/>
                <w:sz w:val="18"/>
                <w:szCs w:val="18"/>
              </w:rPr>
              <w:t>StoFix</w:t>
            </w:r>
          </w:p>
        </w:tc>
        <w:tc>
          <w:tcPr>
            <w:tcW w:w="1827" w:type="dxa"/>
            <w:tcBorders>
              <w:top w:val="single" w:sz="4" w:space="0" w:color="auto"/>
              <w:left w:val="single" w:sz="4" w:space="0" w:color="auto"/>
              <w:bottom w:val="single" w:sz="4" w:space="0" w:color="auto"/>
              <w:right w:val="single" w:sz="4" w:space="0" w:color="auto"/>
            </w:tcBorders>
            <w:vAlign w:val="center"/>
          </w:tcPr>
          <w:p w14:paraId="766DDCC2" w14:textId="4810E78A" w:rsidR="00D053C0" w:rsidRPr="00D7468F" w:rsidRDefault="00D053C0" w:rsidP="00D053C0">
            <w:pPr>
              <w:jc w:val="center"/>
              <w:rPr>
                <w:rFonts w:ascii="Sto TT" w:hAnsi="Sto TT" w:cs="Arial"/>
                <w:b/>
                <w:bCs/>
                <w:sz w:val="18"/>
                <w:szCs w:val="18"/>
              </w:rPr>
            </w:pPr>
            <w:r w:rsidRPr="00D7468F">
              <w:rPr>
                <w:rFonts w:ascii="Sto TT" w:hAnsi="Sto TT" w:cs="Arial"/>
                <w:b/>
                <w:bCs/>
                <w:sz w:val="18"/>
                <w:szCs w:val="18"/>
              </w:rPr>
              <w:t>Fonction</w:t>
            </w:r>
          </w:p>
        </w:tc>
        <w:tc>
          <w:tcPr>
            <w:tcW w:w="1464" w:type="dxa"/>
            <w:tcBorders>
              <w:top w:val="single" w:sz="4" w:space="0" w:color="auto"/>
              <w:left w:val="single" w:sz="4" w:space="0" w:color="auto"/>
              <w:bottom w:val="single" w:sz="4" w:space="0" w:color="auto"/>
              <w:right w:val="single" w:sz="4" w:space="0" w:color="auto"/>
            </w:tcBorders>
            <w:vAlign w:val="center"/>
          </w:tcPr>
          <w:p w14:paraId="6FBB0725" w14:textId="5A6B3E6B" w:rsidR="00D053C0" w:rsidRPr="00D7468F" w:rsidRDefault="00D053C0" w:rsidP="00D053C0">
            <w:pPr>
              <w:jc w:val="center"/>
              <w:rPr>
                <w:rFonts w:ascii="Sto TT" w:hAnsi="Sto TT" w:cs="Arial"/>
                <w:b/>
                <w:bCs/>
                <w:sz w:val="18"/>
                <w:szCs w:val="18"/>
              </w:rPr>
            </w:pPr>
            <w:r w:rsidRPr="00D7468F">
              <w:rPr>
                <w:rFonts w:ascii="Sto TT" w:hAnsi="Sto TT" w:cs="Arial"/>
                <w:b/>
                <w:bCs/>
                <w:sz w:val="18"/>
                <w:szCs w:val="18"/>
              </w:rPr>
              <w:t>Charge éléments</w:t>
            </w:r>
          </w:p>
        </w:tc>
      </w:tr>
      <w:tr w:rsidR="00D053C0" w:rsidRPr="00D7468F" w14:paraId="41E5C688" w14:textId="77777777" w:rsidTr="00D053C0">
        <w:trPr>
          <w:trHeight w:val="1079"/>
        </w:trPr>
        <w:tc>
          <w:tcPr>
            <w:tcW w:w="1864" w:type="dxa"/>
            <w:tcBorders>
              <w:top w:val="single" w:sz="4" w:space="0" w:color="auto"/>
            </w:tcBorders>
            <w:vAlign w:val="center"/>
          </w:tcPr>
          <w:p w14:paraId="2EA137F5" w14:textId="77777777" w:rsidR="00D053C0" w:rsidRPr="00D7468F" w:rsidRDefault="00D053C0" w:rsidP="00D053C0">
            <w:pPr>
              <w:rPr>
                <w:rFonts w:ascii="Sto TT" w:hAnsi="Sto TT" w:cs="Arial"/>
                <w:b/>
                <w:bCs/>
                <w:sz w:val="18"/>
                <w:szCs w:val="18"/>
              </w:rPr>
            </w:pPr>
            <w:r w:rsidRPr="00D7468F">
              <w:rPr>
                <w:rFonts w:ascii="Sto TT" w:hAnsi="Sto TT" w:cs="Arial"/>
                <w:b/>
                <w:bCs/>
                <w:sz w:val="18"/>
                <w:szCs w:val="18"/>
              </w:rPr>
              <w:t>Eldoline</w:t>
            </w:r>
          </w:p>
          <w:p w14:paraId="21E86BDC" w14:textId="79EC8818" w:rsidR="00D053C0" w:rsidRPr="00D7468F" w:rsidRDefault="00D053C0" w:rsidP="00D053C0">
            <w:pPr>
              <w:rPr>
                <w:rFonts w:ascii="Sto TT" w:hAnsi="Sto TT" w:cs="Arial"/>
                <w:sz w:val="18"/>
                <w:szCs w:val="18"/>
              </w:rPr>
            </w:pPr>
            <w:r w:rsidRPr="00D7468F">
              <w:rPr>
                <w:rFonts w:ascii="Sto TT" w:hAnsi="Sto TT" w:cs="Arial"/>
                <w:noProof/>
                <w:sz w:val="18"/>
                <w:szCs w:val="18"/>
              </w:rPr>
              <w:drawing>
                <wp:inline distT="0" distB="0" distL="0" distR="0" wp14:anchorId="022DF59C" wp14:editId="383422EF">
                  <wp:extent cx="720000" cy="720000"/>
                  <wp:effectExtent l="0" t="0" r="4445" b="4445"/>
                  <wp:docPr id="2037077008"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tcBorders>
              <w:top w:val="single" w:sz="4" w:space="0" w:color="auto"/>
            </w:tcBorders>
            <w:vAlign w:val="center"/>
          </w:tcPr>
          <w:p w14:paraId="6C7E9735" w14:textId="324C6899" w:rsidR="00D053C0" w:rsidRPr="00D7468F" w:rsidRDefault="00D053C0" w:rsidP="00D053C0">
            <w:pPr>
              <w:jc w:val="center"/>
              <w:rPr>
                <w:rFonts w:ascii="Sto TT" w:hAnsi="Sto TT" w:cs="Arial"/>
                <w:sz w:val="18"/>
                <w:szCs w:val="18"/>
              </w:rPr>
            </w:pPr>
            <w:r w:rsidRPr="00D7468F">
              <w:rPr>
                <w:rFonts w:ascii="Sto TT" w:hAnsi="Sto TT" w:cs="Arial"/>
                <w:sz w:val="18"/>
                <w:szCs w:val="18"/>
              </w:rPr>
              <w:t>Prises et interrupteur</w:t>
            </w:r>
          </w:p>
        </w:tc>
        <w:tc>
          <w:tcPr>
            <w:tcW w:w="1454" w:type="dxa"/>
            <w:tcBorders>
              <w:top w:val="single" w:sz="4" w:space="0" w:color="auto"/>
            </w:tcBorders>
            <w:vAlign w:val="center"/>
          </w:tcPr>
          <w:p w14:paraId="4F7BC69C" w14:textId="4127A50D" w:rsidR="00D053C0" w:rsidRPr="00D7468F" w:rsidRDefault="00D053C0" w:rsidP="00D053C0">
            <w:pPr>
              <w:jc w:val="center"/>
              <w:rPr>
                <w:rFonts w:ascii="Sto TT" w:hAnsi="Sto TT" w:cs="Arial"/>
                <w:sz w:val="18"/>
                <w:szCs w:val="18"/>
              </w:rPr>
            </w:pPr>
            <w:r w:rsidRPr="00D7468F">
              <w:rPr>
                <w:rFonts w:ascii="Sto TT" w:hAnsi="Sto TT" w:cs="Arial"/>
                <w:sz w:val="18"/>
                <w:szCs w:val="18"/>
              </w:rPr>
              <w:t>Légers</w:t>
            </w:r>
          </w:p>
        </w:tc>
        <w:tc>
          <w:tcPr>
            <w:tcW w:w="222" w:type="dxa"/>
            <w:tcBorders>
              <w:top w:val="single" w:sz="4" w:space="0" w:color="auto"/>
            </w:tcBorders>
            <w:shd w:val="clear" w:color="auto" w:fill="D0CECE" w:themeFill="background2" w:themeFillShade="E6"/>
          </w:tcPr>
          <w:p w14:paraId="5A7F4056" w14:textId="77777777" w:rsidR="00D053C0" w:rsidRPr="00D7468F" w:rsidRDefault="00D053C0" w:rsidP="00D053C0">
            <w:pPr>
              <w:rPr>
                <w:rFonts w:ascii="Sto TT" w:hAnsi="Sto TT" w:cs="Arial"/>
                <w:b/>
                <w:bCs/>
                <w:sz w:val="18"/>
                <w:szCs w:val="18"/>
                <w:lang w:val="pt-PT"/>
              </w:rPr>
            </w:pPr>
          </w:p>
        </w:tc>
        <w:tc>
          <w:tcPr>
            <w:tcW w:w="1864" w:type="dxa"/>
            <w:tcBorders>
              <w:top w:val="single" w:sz="4" w:space="0" w:color="auto"/>
            </w:tcBorders>
            <w:vAlign w:val="center"/>
          </w:tcPr>
          <w:p w14:paraId="28A25BA9" w14:textId="77777777" w:rsidR="00D053C0" w:rsidRPr="00D7468F" w:rsidRDefault="00D053C0" w:rsidP="00D053C0">
            <w:pPr>
              <w:rPr>
                <w:rFonts w:ascii="Sto TT" w:hAnsi="Sto TT" w:cs="Arial"/>
                <w:b/>
                <w:bCs/>
                <w:sz w:val="18"/>
                <w:szCs w:val="18"/>
                <w:lang w:val="pt-PT"/>
              </w:rPr>
            </w:pPr>
            <w:r w:rsidRPr="00D7468F">
              <w:rPr>
                <w:rFonts w:ascii="Sto TT" w:hAnsi="Sto TT" w:cs="Arial"/>
                <w:b/>
                <w:bCs/>
                <w:sz w:val="18"/>
                <w:szCs w:val="18"/>
                <w:lang w:val="pt-PT"/>
              </w:rPr>
              <w:t>Trawik FK</w:t>
            </w:r>
          </w:p>
          <w:p w14:paraId="08C89BF7" w14:textId="77A329A6" w:rsidR="00D053C0" w:rsidRPr="00D7468F" w:rsidRDefault="00D053C0" w:rsidP="00D053C0">
            <w:pPr>
              <w:jc w:val="center"/>
              <w:rPr>
                <w:rFonts w:ascii="Sto TT" w:hAnsi="Sto TT" w:cs="Arial"/>
                <w:b/>
                <w:bCs/>
                <w:color w:val="92D050"/>
                <w:sz w:val="18"/>
                <w:szCs w:val="18"/>
              </w:rPr>
            </w:pPr>
            <w:r w:rsidRPr="00D7468F">
              <w:rPr>
                <w:rFonts w:ascii="Sto TT" w:hAnsi="Sto TT" w:cs="Arial"/>
                <w:noProof/>
                <w:sz w:val="18"/>
                <w:szCs w:val="18"/>
              </w:rPr>
              <w:drawing>
                <wp:inline distT="0" distB="0" distL="0" distR="0" wp14:anchorId="4981BB8B" wp14:editId="11048F40">
                  <wp:extent cx="720000" cy="720000"/>
                  <wp:effectExtent l="0" t="0" r="4445" b="4445"/>
                  <wp:docPr id="194154654"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tcBorders>
              <w:top w:val="single" w:sz="4" w:space="0" w:color="auto"/>
            </w:tcBorders>
            <w:vAlign w:val="center"/>
          </w:tcPr>
          <w:p w14:paraId="3010CFF4" w14:textId="77777777" w:rsidR="00D053C0" w:rsidRPr="00D7468F" w:rsidRDefault="00D053C0" w:rsidP="00D053C0">
            <w:pPr>
              <w:jc w:val="center"/>
              <w:rPr>
                <w:rFonts w:ascii="Sto TT" w:hAnsi="Sto TT" w:cs="Arial"/>
                <w:sz w:val="18"/>
                <w:szCs w:val="18"/>
              </w:rPr>
            </w:pPr>
            <w:r w:rsidRPr="00D7468F">
              <w:rPr>
                <w:rFonts w:ascii="Sto TT" w:hAnsi="Sto TT" w:cs="Arial"/>
                <w:sz w:val="18"/>
                <w:szCs w:val="18"/>
              </w:rPr>
              <w:t>Volets battants et coulissants</w:t>
            </w:r>
          </w:p>
          <w:p w14:paraId="1006983D" w14:textId="77777777" w:rsidR="00D053C0" w:rsidRPr="00D7468F" w:rsidRDefault="00D053C0" w:rsidP="00D053C0">
            <w:pPr>
              <w:jc w:val="center"/>
              <w:rPr>
                <w:rFonts w:ascii="Sto TT" w:hAnsi="Sto TT" w:cs="Arial"/>
                <w:color w:val="92D050"/>
                <w:sz w:val="18"/>
                <w:szCs w:val="18"/>
              </w:rPr>
            </w:pPr>
          </w:p>
          <w:p w14:paraId="1313FEA4" w14:textId="680B1268" w:rsidR="00D053C0" w:rsidRPr="00D7468F" w:rsidRDefault="00D053C0" w:rsidP="00D053C0">
            <w:pPr>
              <w:jc w:val="center"/>
              <w:rPr>
                <w:rFonts w:ascii="Sto TT" w:hAnsi="Sto TT" w:cs="Arial"/>
                <w:b/>
                <w:bCs/>
                <w:color w:val="92D050"/>
                <w:sz w:val="18"/>
                <w:szCs w:val="18"/>
              </w:rPr>
            </w:pPr>
            <w:r w:rsidRPr="00D7468F">
              <w:rPr>
                <w:rFonts w:ascii="Sto TT" w:hAnsi="Sto TT" w:cs="Arial"/>
                <w:color w:val="2E74B5" w:themeColor="accent5" w:themeShade="BF"/>
                <w:sz w:val="18"/>
                <w:szCs w:val="18"/>
              </w:rPr>
              <w:t>Fixer uniquement dans les montants de l’ossature</w:t>
            </w:r>
          </w:p>
        </w:tc>
        <w:tc>
          <w:tcPr>
            <w:tcW w:w="1464" w:type="dxa"/>
            <w:tcBorders>
              <w:top w:val="single" w:sz="4" w:space="0" w:color="auto"/>
            </w:tcBorders>
            <w:vAlign w:val="center"/>
          </w:tcPr>
          <w:p w14:paraId="011C9DFE" w14:textId="7AD978CE" w:rsidR="00D053C0" w:rsidRPr="00D7468F" w:rsidRDefault="00D053C0" w:rsidP="00D053C0">
            <w:pPr>
              <w:jc w:val="center"/>
              <w:rPr>
                <w:rFonts w:ascii="Sto TT" w:hAnsi="Sto TT" w:cs="Arial"/>
                <w:b/>
                <w:bCs/>
                <w:color w:val="92D050"/>
                <w:sz w:val="18"/>
                <w:szCs w:val="18"/>
              </w:rPr>
            </w:pPr>
            <w:r w:rsidRPr="00D7468F">
              <w:rPr>
                <w:rFonts w:ascii="Sto TT" w:hAnsi="Sto TT" w:cs="Arial"/>
                <w:sz w:val="18"/>
                <w:szCs w:val="18"/>
                <w:lang w:val="pt-PT"/>
              </w:rPr>
              <w:t>Gond de Volets</w:t>
            </w:r>
          </w:p>
        </w:tc>
      </w:tr>
      <w:tr w:rsidR="00D053C0" w:rsidRPr="00D7468F" w14:paraId="27478175" w14:textId="77777777" w:rsidTr="00D053C0">
        <w:trPr>
          <w:trHeight w:val="1012"/>
        </w:trPr>
        <w:tc>
          <w:tcPr>
            <w:tcW w:w="1864" w:type="dxa"/>
            <w:vAlign w:val="center"/>
          </w:tcPr>
          <w:p w14:paraId="07C5C881" w14:textId="77777777" w:rsidR="00D053C0" w:rsidRPr="00D7468F" w:rsidRDefault="00D053C0" w:rsidP="00D053C0">
            <w:pPr>
              <w:rPr>
                <w:rFonts w:ascii="Sto TT" w:hAnsi="Sto TT" w:cs="Arial"/>
                <w:b/>
                <w:bCs/>
                <w:sz w:val="18"/>
                <w:szCs w:val="18"/>
              </w:rPr>
            </w:pPr>
            <w:r w:rsidRPr="00D7468F">
              <w:rPr>
                <w:rFonts w:ascii="Sto TT" w:hAnsi="Sto TT" w:cs="Arial"/>
                <w:b/>
                <w:bCs/>
                <w:sz w:val="18"/>
                <w:szCs w:val="18"/>
              </w:rPr>
              <w:t>Spirale</w:t>
            </w:r>
          </w:p>
          <w:p w14:paraId="7DD7C629" w14:textId="49A9AE51" w:rsidR="00D053C0" w:rsidRPr="00D7468F" w:rsidRDefault="00D053C0" w:rsidP="00D053C0">
            <w:pPr>
              <w:rPr>
                <w:rFonts w:ascii="Sto TT" w:hAnsi="Sto TT" w:cs="Arial"/>
                <w:sz w:val="18"/>
                <w:szCs w:val="18"/>
              </w:rPr>
            </w:pPr>
            <w:r w:rsidRPr="00D7468F">
              <w:rPr>
                <w:rFonts w:ascii="Sto TT" w:hAnsi="Sto TT" w:cs="Arial"/>
                <w:noProof/>
                <w:sz w:val="18"/>
                <w:szCs w:val="18"/>
              </w:rPr>
              <w:drawing>
                <wp:inline distT="0" distB="0" distL="0" distR="0" wp14:anchorId="0D912EC6" wp14:editId="15BC1123">
                  <wp:extent cx="720000" cy="720000"/>
                  <wp:effectExtent l="0" t="0" r="4445" b="4445"/>
                  <wp:docPr id="937447899"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59DA06BC" w14:textId="35398FC3" w:rsidR="00D053C0" w:rsidRPr="00D7468F" w:rsidRDefault="00D053C0" w:rsidP="00D053C0">
            <w:pPr>
              <w:jc w:val="center"/>
              <w:rPr>
                <w:rFonts w:ascii="Sto TT" w:hAnsi="Sto TT" w:cs="Arial"/>
                <w:sz w:val="18"/>
                <w:szCs w:val="18"/>
              </w:rPr>
            </w:pPr>
            <w:r w:rsidRPr="00D7468F">
              <w:rPr>
                <w:rFonts w:ascii="Sto TT" w:hAnsi="Sto TT" w:cs="Arial"/>
                <w:sz w:val="18"/>
                <w:szCs w:val="18"/>
              </w:rPr>
              <w:t>Pour la fixation d’éléments légers (sonnettes, panneaux etc.)</w:t>
            </w:r>
          </w:p>
        </w:tc>
        <w:tc>
          <w:tcPr>
            <w:tcW w:w="1454" w:type="dxa"/>
            <w:vAlign w:val="center"/>
          </w:tcPr>
          <w:p w14:paraId="1C412D3F" w14:textId="32AEAC93" w:rsidR="00D053C0" w:rsidRPr="00D7468F" w:rsidRDefault="00D053C0" w:rsidP="00D053C0">
            <w:pPr>
              <w:jc w:val="center"/>
              <w:rPr>
                <w:rFonts w:ascii="Sto TT" w:hAnsi="Sto TT" w:cs="Arial"/>
                <w:sz w:val="18"/>
                <w:szCs w:val="18"/>
              </w:rPr>
            </w:pPr>
            <w:r w:rsidRPr="00D7468F">
              <w:rPr>
                <w:rFonts w:ascii="Sto TT" w:hAnsi="Sto TT" w:cs="Arial"/>
                <w:sz w:val="18"/>
                <w:szCs w:val="18"/>
              </w:rPr>
              <w:t>Légers</w:t>
            </w:r>
          </w:p>
        </w:tc>
        <w:tc>
          <w:tcPr>
            <w:tcW w:w="222" w:type="dxa"/>
            <w:shd w:val="clear" w:color="auto" w:fill="D0CECE" w:themeFill="background2" w:themeFillShade="E6"/>
          </w:tcPr>
          <w:p w14:paraId="0B71804A" w14:textId="77777777" w:rsidR="00D053C0" w:rsidRPr="00D7468F" w:rsidRDefault="00D053C0" w:rsidP="00D053C0">
            <w:pPr>
              <w:rPr>
                <w:rFonts w:ascii="Sto TT" w:hAnsi="Sto TT" w:cs="Arial"/>
                <w:b/>
                <w:bCs/>
                <w:sz w:val="18"/>
                <w:szCs w:val="18"/>
                <w:lang w:val="pt-PT"/>
              </w:rPr>
            </w:pPr>
          </w:p>
        </w:tc>
        <w:tc>
          <w:tcPr>
            <w:tcW w:w="1864" w:type="dxa"/>
            <w:vAlign w:val="center"/>
          </w:tcPr>
          <w:p w14:paraId="34049657" w14:textId="77777777" w:rsidR="00D053C0" w:rsidRPr="00D7468F" w:rsidRDefault="00D053C0" w:rsidP="00D053C0">
            <w:pPr>
              <w:rPr>
                <w:rFonts w:ascii="Sto TT" w:hAnsi="Sto TT" w:cs="Arial"/>
                <w:b/>
                <w:bCs/>
                <w:sz w:val="18"/>
                <w:szCs w:val="18"/>
                <w:lang w:val="pt-PT"/>
              </w:rPr>
            </w:pPr>
            <w:r w:rsidRPr="00D7468F">
              <w:rPr>
                <w:rFonts w:ascii="Sto TT" w:hAnsi="Sto TT" w:cs="Arial"/>
                <w:b/>
                <w:bCs/>
                <w:sz w:val="18"/>
                <w:szCs w:val="18"/>
                <w:lang w:val="pt-PT"/>
              </w:rPr>
              <w:t>Trawik ALU-PU</w:t>
            </w:r>
          </w:p>
          <w:p w14:paraId="419AC5A1" w14:textId="2F085A41" w:rsidR="00D053C0" w:rsidRPr="00D7468F" w:rsidRDefault="00D053C0" w:rsidP="00D053C0">
            <w:pPr>
              <w:jc w:val="center"/>
              <w:rPr>
                <w:rFonts w:ascii="Sto TT" w:hAnsi="Sto TT" w:cs="Arial"/>
                <w:b/>
                <w:bCs/>
                <w:color w:val="92D050"/>
                <w:sz w:val="18"/>
                <w:szCs w:val="18"/>
              </w:rPr>
            </w:pPr>
            <w:r w:rsidRPr="00D7468F">
              <w:rPr>
                <w:rFonts w:ascii="Sto TT" w:hAnsi="Sto TT" w:cs="Arial"/>
                <w:b/>
                <w:bCs/>
                <w:noProof/>
                <w:sz w:val="18"/>
                <w:szCs w:val="18"/>
              </w:rPr>
              <w:drawing>
                <wp:inline distT="0" distB="0" distL="0" distR="0" wp14:anchorId="6E7B3080" wp14:editId="070083E2">
                  <wp:extent cx="720000" cy="720000"/>
                  <wp:effectExtent l="0" t="0" r="4445" b="4445"/>
                  <wp:docPr id="10694547"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0052D738" w14:textId="77777777" w:rsidR="00D053C0" w:rsidRPr="00D7468F" w:rsidRDefault="00D053C0" w:rsidP="00D053C0">
            <w:pPr>
              <w:jc w:val="center"/>
              <w:rPr>
                <w:rFonts w:ascii="Sto TT" w:hAnsi="Sto TT" w:cs="Arial"/>
                <w:sz w:val="18"/>
                <w:szCs w:val="18"/>
              </w:rPr>
            </w:pPr>
            <w:r w:rsidRPr="00D7468F">
              <w:rPr>
                <w:rFonts w:ascii="Sto TT" w:hAnsi="Sto TT" w:cs="Arial"/>
                <w:sz w:val="18"/>
                <w:szCs w:val="18"/>
              </w:rPr>
              <w:t>Balustrades et garde-corps</w:t>
            </w:r>
          </w:p>
          <w:p w14:paraId="0517366C" w14:textId="77777777" w:rsidR="00D053C0" w:rsidRPr="00D7468F" w:rsidRDefault="00D053C0" w:rsidP="00D053C0">
            <w:pPr>
              <w:jc w:val="center"/>
              <w:rPr>
                <w:rFonts w:ascii="Sto TT" w:hAnsi="Sto TT" w:cs="Arial"/>
                <w:color w:val="92D050"/>
                <w:sz w:val="18"/>
                <w:szCs w:val="18"/>
              </w:rPr>
            </w:pPr>
          </w:p>
          <w:p w14:paraId="699C8E52" w14:textId="668F6DC1" w:rsidR="00D053C0" w:rsidRPr="00D7468F" w:rsidRDefault="00D053C0" w:rsidP="00D053C0">
            <w:pPr>
              <w:jc w:val="center"/>
              <w:rPr>
                <w:rFonts w:ascii="Sto TT" w:hAnsi="Sto TT" w:cs="Arial"/>
                <w:b/>
                <w:bCs/>
                <w:color w:val="92D050"/>
                <w:sz w:val="18"/>
                <w:szCs w:val="18"/>
              </w:rPr>
            </w:pPr>
            <w:r w:rsidRPr="00D7468F">
              <w:rPr>
                <w:rFonts w:ascii="Sto TT" w:hAnsi="Sto TT" w:cs="Arial"/>
                <w:color w:val="2E74B5" w:themeColor="accent5" w:themeShade="BF"/>
                <w:sz w:val="18"/>
                <w:szCs w:val="18"/>
              </w:rPr>
              <w:t>Fixer uniquement dans les montants de l’ossature</w:t>
            </w:r>
          </w:p>
        </w:tc>
        <w:tc>
          <w:tcPr>
            <w:tcW w:w="1464" w:type="dxa"/>
            <w:vAlign w:val="center"/>
          </w:tcPr>
          <w:p w14:paraId="360CE204" w14:textId="6AE1B0A9" w:rsidR="00D053C0" w:rsidRPr="00D7468F" w:rsidRDefault="00D053C0" w:rsidP="00D053C0">
            <w:pPr>
              <w:jc w:val="center"/>
              <w:rPr>
                <w:rFonts w:ascii="Sto TT" w:hAnsi="Sto TT" w:cs="Arial"/>
                <w:b/>
                <w:bCs/>
                <w:color w:val="92D050"/>
                <w:sz w:val="18"/>
                <w:szCs w:val="18"/>
              </w:rPr>
            </w:pPr>
            <w:r w:rsidRPr="00D7468F">
              <w:rPr>
                <w:rFonts w:ascii="Sto TT" w:hAnsi="Sto TT" w:cs="Arial"/>
                <w:sz w:val="18"/>
                <w:szCs w:val="18"/>
                <w:lang w:val="pt-PT"/>
              </w:rPr>
              <w:t>Moyennes à lourdes</w:t>
            </w:r>
          </w:p>
        </w:tc>
      </w:tr>
      <w:tr w:rsidR="00D053C0" w:rsidRPr="00D7468F" w14:paraId="6169B61D" w14:textId="77777777" w:rsidTr="00D053C0">
        <w:trPr>
          <w:trHeight w:val="1162"/>
        </w:trPr>
        <w:tc>
          <w:tcPr>
            <w:tcW w:w="1864" w:type="dxa"/>
            <w:vAlign w:val="center"/>
          </w:tcPr>
          <w:p w14:paraId="6F4324F3" w14:textId="77777777" w:rsidR="00D053C0" w:rsidRPr="00D7468F" w:rsidRDefault="00D053C0" w:rsidP="00D053C0">
            <w:pPr>
              <w:rPr>
                <w:rFonts w:ascii="Sto TT" w:hAnsi="Sto TT" w:cs="Arial"/>
                <w:b/>
                <w:bCs/>
                <w:sz w:val="18"/>
                <w:szCs w:val="18"/>
              </w:rPr>
            </w:pPr>
            <w:r w:rsidRPr="00D7468F">
              <w:rPr>
                <w:rFonts w:ascii="Sto TT" w:hAnsi="Sto TT" w:cs="Arial"/>
                <w:b/>
                <w:bCs/>
                <w:sz w:val="18"/>
                <w:szCs w:val="18"/>
              </w:rPr>
              <w:t>Quader Quick</w:t>
            </w:r>
          </w:p>
          <w:p w14:paraId="7DED6B4B" w14:textId="77777777" w:rsidR="00D053C0" w:rsidRPr="00D7468F" w:rsidRDefault="00D053C0" w:rsidP="00D053C0">
            <w:pPr>
              <w:rPr>
                <w:rFonts w:ascii="Sto TT" w:hAnsi="Sto TT" w:cs="Arial"/>
                <w:sz w:val="18"/>
                <w:szCs w:val="18"/>
              </w:rPr>
            </w:pPr>
            <w:r w:rsidRPr="00D7468F">
              <w:rPr>
                <w:rFonts w:ascii="Sto TT" w:hAnsi="Sto TT" w:cs="Arial"/>
                <w:noProof/>
                <w:sz w:val="18"/>
                <w:szCs w:val="18"/>
              </w:rPr>
              <w:drawing>
                <wp:inline distT="0" distB="0" distL="0" distR="0" wp14:anchorId="183A278A" wp14:editId="0A0BA663">
                  <wp:extent cx="720000" cy="720000"/>
                  <wp:effectExtent l="0" t="0" r="4445" b="4445"/>
                  <wp:docPr id="645256225"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70AD161A" w14:textId="77777777" w:rsidR="00D053C0" w:rsidRPr="00D7468F" w:rsidRDefault="00D053C0" w:rsidP="00D053C0">
            <w:pPr>
              <w:rPr>
                <w:rFonts w:ascii="Sto TT" w:hAnsi="Sto TT" w:cs="Arial"/>
                <w:b/>
                <w:bCs/>
                <w:sz w:val="18"/>
                <w:szCs w:val="18"/>
              </w:rPr>
            </w:pPr>
          </w:p>
        </w:tc>
        <w:tc>
          <w:tcPr>
            <w:tcW w:w="1663" w:type="dxa"/>
            <w:vAlign w:val="center"/>
          </w:tcPr>
          <w:p w14:paraId="3B35C980" w14:textId="62B769BF" w:rsidR="00D053C0" w:rsidRPr="00D7468F" w:rsidRDefault="00D053C0" w:rsidP="00D053C0">
            <w:pPr>
              <w:jc w:val="center"/>
              <w:rPr>
                <w:rFonts w:ascii="Sto TT" w:hAnsi="Sto TT" w:cs="Arial"/>
                <w:sz w:val="18"/>
                <w:szCs w:val="18"/>
              </w:rPr>
            </w:pPr>
            <w:r w:rsidRPr="00D7468F">
              <w:rPr>
                <w:rFonts w:ascii="Sto TT" w:hAnsi="Sto TT" w:cs="Arial"/>
                <w:sz w:val="18"/>
                <w:szCs w:val="18"/>
              </w:rPr>
              <w:t>Fixation et cale</w:t>
            </w:r>
          </w:p>
        </w:tc>
        <w:tc>
          <w:tcPr>
            <w:tcW w:w="1454" w:type="dxa"/>
            <w:vAlign w:val="center"/>
          </w:tcPr>
          <w:p w14:paraId="197FF644" w14:textId="62F924DC" w:rsidR="00D053C0" w:rsidRPr="00D7468F" w:rsidRDefault="00D053C0" w:rsidP="00D053C0">
            <w:pPr>
              <w:jc w:val="center"/>
              <w:rPr>
                <w:rFonts w:ascii="Sto TT" w:hAnsi="Sto TT" w:cs="Arial"/>
                <w:sz w:val="18"/>
                <w:szCs w:val="18"/>
              </w:rPr>
            </w:pPr>
            <w:r w:rsidRPr="00D7468F">
              <w:rPr>
                <w:rFonts w:ascii="Sto TT" w:hAnsi="Sto TT" w:cs="Arial"/>
                <w:sz w:val="18"/>
                <w:szCs w:val="18"/>
              </w:rPr>
              <w:t>Légers</w:t>
            </w:r>
          </w:p>
        </w:tc>
        <w:tc>
          <w:tcPr>
            <w:tcW w:w="222" w:type="dxa"/>
            <w:shd w:val="clear" w:color="auto" w:fill="D0CECE" w:themeFill="background2" w:themeFillShade="E6"/>
          </w:tcPr>
          <w:p w14:paraId="5D173C1C" w14:textId="77777777" w:rsidR="00D053C0" w:rsidRPr="00D7468F" w:rsidRDefault="00D053C0" w:rsidP="00D053C0">
            <w:pPr>
              <w:rPr>
                <w:rFonts w:ascii="Sto TT" w:hAnsi="Sto TT" w:cs="Arial"/>
                <w:b/>
                <w:bCs/>
                <w:sz w:val="18"/>
                <w:szCs w:val="18"/>
                <w:lang w:val="pt-PT"/>
              </w:rPr>
            </w:pPr>
          </w:p>
        </w:tc>
        <w:tc>
          <w:tcPr>
            <w:tcW w:w="1864" w:type="dxa"/>
            <w:vAlign w:val="center"/>
          </w:tcPr>
          <w:p w14:paraId="4D6D08D1" w14:textId="77777777" w:rsidR="00D053C0" w:rsidRPr="00D7468F" w:rsidRDefault="00D053C0" w:rsidP="00D053C0">
            <w:pPr>
              <w:rPr>
                <w:rFonts w:ascii="Sto TT" w:hAnsi="Sto TT" w:cs="Arial"/>
                <w:b/>
                <w:bCs/>
                <w:sz w:val="18"/>
                <w:szCs w:val="18"/>
                <w:lang w:val="pt-PT"/>
              </w:rPr>
            </w:pPr>
            <w:r w:rsidRPr="00D7468F">
              <w:rPr>
                <w:rFonts w:ascii="Sto TT" w:hAnsi="Sto TT" w:cs="Arial"/>
                <w:b/>
                <w:bCs/>
                <w:sz w:val="18"/>
                <w:szCs w:val="18"/>
                <w:lang w:val="pt-PT"/>
              </w:rPr>
              <w:t>Trawik ALU-RF</w:t>
            </w:r>
          </w:p>
          <w:p w14:paraId="7AFDF7D8" w14:textId="6AF80F1E" w:rsidR="00D053C0" w:rsidRPr="00D7468F" w:rsidRDefault="00D053C0" w:rsidP="00D053C0">
            <w:pPr>
              <w:rPr>
                <w:rFonts w:ascii="Sto TT" w:hAnsi="Sto TT" w:cs="Arial"/>
                <w:b/>
                <w:bCs/>
                <w:sz w:val="18"/>
                <w:szCs w:val="18"/>
                <w:lang w:val="pt-PT"/>
              </w:rPr>
            </w:pPr>
            <w:r w:rsidRPr="00D7468F">
              <w:rPr>
                <w:rFonts w:ascii="Sto TT" w:hAnsi="Sto TT" w:cs="Arial"/>
                <w:b/>
                <w:bCs/>
                <w:noProof/>
                <w:sz w:val="18"/>
                <w:szCs w:val="18"/>
              </w:rPr>
              <w:drawing>
                <wp:inline distT="0" distB="0" distL="0" distR="0" wp14:anchorId="4968DFE5" wp14:editId="5762208B">
                  <wp:extent cx="720000" cy="720000"/>
                  <wp:effectExtent l="0" t="0" r="4445" b="4445"/>
                  <wp:docPr id="2083485643"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645C24D5" w14:textId="77777777" w:rsidR="00D053C0" w:rsidRPr="00D7468F" w:rsidRDefault="00D053C0" w:rsidP="00D053C0">
            <w:pPr>
              <w:jc w:val="center"/>
              <w:rPr>
                <w:rFonts w:ascii="Sto TT" w:hAnsi="Sto TT" w:cs="Arial"/>
                <w:sz w:val="18"/>
                <w:szCs w:val="18"/>
              </w:rPr>
            </w:pPr>
            <w:r w:rsidRPr="00D7468F">
              <w:rPr>
                <w:rFonts w:ascii="Sto TT" w:hAnsi="Sto TT" w:cs="Arial"/>
                <w:sz w:val="18"/>
                <w:szCs w:val="18"/>
              </w:rPr>
              <w:t>Balustrades, garde-corps et Store Banne</w:t>
            </w:r>
          </w:p>
          <w:p w14:paraId="3DFDFD42" w14:textId="77777777" w:rsidR="00D053C0" w:rsidRPr="00D7468F" w:rsidRDefault="00D053C0" w:rsidP="00D053C0">
            <w:pPr>
              <w:jc w:val="center"/>
              <w:rPr>
                <w:rFonts w:ascii="Sto TT" w:hAnsi="Sto TT" w:cs="Arial"/>
                <w:color w:val="92D050"/>
                <w:sz w:val="18"/>
                <w:szCs w:val="18"/>
              </w:rPr>
            </w:pPr>
          </w:p>
          <w:p w14:paraId="7C1A1612" w14:textId="53E9ACCF" w:rsidR="00D053C0" w:rsidRPr="00D7468F" w:rsidRDefault="00D053C0" w:rsidP="00D053C0">
            <w:pPr>
              <w:jc w:val="center"/>
              <w:rPr>
                <w:rFonts w:ascii="Sto TT" w:hAnsi="Sto TT" w:cs="Arial"/>
                <w:b/>
                <w:bCs/>
                <w:color w:val="92D050"/>
                <w:sz w:val="18"/>
                <w:szCs w:val="18"/>
              </w:rPr>
            </w:pPr>
            <w:r w:rsidRPr="00D7468F">
              <w:rPr>
                <w:rFonts w:ascii="Sto TT" w:hAnsi="Sto TT" w:cs="Arial"/>
                <w:color w:val="2E74B5" w:themeColor="accent5" w:themeShade="BF"/>
                <w:sz w:val="18"/>
                <w:szCs w:val="18"/>
              </w:rPr>
              <w:t>Fixer uniquement dans les montants de l’ossature</w:t>
            </w:r>
          </w:p>
        </w:tc>
        <w:tc>
          <w:tcPr>
            <w:tcW w:w="1464" w:type="dxa"/>
            <w:vAlign w:val="center"/>
          </w:tcPr>
          <w:p w14:paraId="0FCDB371" w14:textId="3960EB3A" w:rsidR="00D053C0" w:rsidRPr="00D7468F" w:rsidRDefault="00D053C0" w:rsidP="00D053C0">
            <w:pPr>
              <w:jc w:val="center"/>
              <w:rPr>
                <w:rFonts w:ascii="Sto TT" w:hAnsi="Sto TT" w:cs="Arial"/>
                <w:sz w:val="18"/>
                <w:szCs w:val="18"/>
                <w:lang w:val="pt-PT"/>
              </w:rPr>
            </w:pPr>
            <w:r w:rsidRPr="00D7468F">
              <w:rPr>
                <w:rFonts w:ascii="Sto TT" w:hAnsi="Sto TT" w:cs="Arial"/>
                <w:sz w:val="18"/>
                <w:szCs w:val="18"/>
                <w:lang w:val="pt-PT"/>
              </w:rPr>
              <w:t>Moyennes à lourdes</w:t>
            </w:r>
          </w:p>
        </w:tc>
      </w:tr>
      <w:tr w:rsidR="00D053C0" w:rsidRPr="00D7468F" w14:paraId="60E81169" w14:textId="77777777" w:rsidTr="00D053C0">
        <w:trPr>
          <w:trHeight w:val="900"/>
        </w:trPr>
        <w:tc>
          <w:tcPr>
            <w:tcW w:w="1864" w:type="dxa"/>
            <w:vAlign w:val="center"/>
          </w:tcPr>
          <w:p w14:paraId="1116E3D9" w14:textId="77777777" w:rsidR="00D053C0" w:rsidRPr="00D7468F" w:rsidRDefault="00D053C0" w:rsidP="00D053C0">
            <w:pPr>
              <w:rPr>
                <w:rFonts w:ascii="Sto TT" w:hAnsi="Sto TT" w:cs="Arial"/>
                <w:b/>
                <w:bCs/>
                <w:sz w:val="18"/>
                <w:szCs w:val="18"/>
                <w:lang w:val="pt-PT"/>
              </w:rPr>
            </w:pPr>
            <w:r w:rsidRPr="00D7468F">
              <w:rPr>
                <w:rFonts w:ascii="Sto TT" w:hAnsi="Sto TT" w:cs="Arial"/>
                <w:b/>
                <w:bCs/>
                <w:sz w:val="18"/>
                <w:szCs w:val="18"/>
                <w:lang w:val="pt-PT"/>
              </w:rPr>
              <w:t>Zyrillo</w:t>
            </w:r>
          </w:p>
          <w:p w14:paraId="50E1D080" w14:textId="362FC902" w:rsidR="00D053C0" w:rsidRPr="00D7468F" w:rsidRDefault="00D053C0" w:rsidP="00D053C0">
            <w:pPr>
              <w:tabs>
                <w:tab w:val="left" w:pos="768"/>
              </w:tabs>
              <w:rPr>
                <w:rFonts w:ascii="Sto TT" w:hAnsi="Sto TT" w:cs="Arial"/>
                <w:sz w:val="18"/>
                <w:szCs w:val="18"/>
              </w:rPr>
            </w:pPr>
            <w:r w:rsidRPr="00D7468F">
              <w:rPr>
                <w:rFonts w:ascii="Sto TT" w:hAnsi="Sto TT" w:cs="Arial"/>
                <w:noProof/>
                <w:sz w:val="18"/>
                <w:szCs w:val="18"/>
              </w:rPr>
              <w:drawing>
                <wp:inline distT="0" distB="0" distL="0" distR="0" wp14:anchorId="623F2F03" wp14:editId="2CFB6566">
                  <wp:extent cx="720000" cy="720000"/>
                  <wp:effectExtent l="0" t="0" r="4445" b="4445"/>
                  <wp:docPr id="34517526"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0208A54E" w14:textId="67ABC6C2" w:rsidR="00D053C0" w:rsidRPr="00D7468F" w:rsidRDefault="00D053C0" w:rsidP="00D053C0">
            <w:pPr>
              <w:jc w:val="center"/>
              <w:rPr>
                <w:rFonts w:ascii="Sto TT" w:hAnsi="Sto TT" w:cs="Arial"/>
                <w:sz w:val="18"/>
                <w:szCs w:val="18"/>
              </w:rPr>
            </w:pPr>
            <w:r w:rsidRPr="00D7468F">
              <w:rPr>
                <w:rFonts w:ascii="Sto TT" w:hAnsi="Sto TT" w:cs="Arial"/>
                <w:sz w:val="18"/>
                <w:szCs w:val="18"/>
              </w:rPr>
              <w:t>Gond de volets, Tuyaux de descente</w:t>
            </w:r>
          </w:p>
        </w:tc>
        <w:tc>
          <w:tcPr>
            <w:tcW w:w="1454" w:type="dxa"/>
            <w:vAlign w:val="center"/>
          </w:tcPr>
          <w:p w14:paraId="20BA5CE8" w14:textId="25C3CBF1" w:rsidR="00D053C0" w:rsidRPr="00D7468F" w:rsidRDefault="00D053C0" w:rsidP="00D053C0">
            <w:pPr>
              <w:jc w:val="center"/>
              <w:rPr>
                <w:rFonts w:ascii="Sto TT" w:hAnsi="Sto TT" w:cs="Arial"/>
                <w:sz w:val="18"/>
                <w:szCs w:val="18"/>
              </w:rPr>
            </w:pPr>
            <w:r w:rsidRPr="00D7468F">
              <w:rPr>
                <w:rFonts w:ascii="Sto TT" w:hAnsi="Sto TT" w:cs="Arial"/>
                <w:sz w:val="18"/>
                <w:szCs w:val="18"/>
                <w:lang w:val="pt-PT"/>
              </w:rPr>
              <w:t>Léger</w:t>
            </w:r>
          </w:p>
        </w:tc>
        <w:tc>
          <w:tcPr>
            <w:tcW w:w="222" w:type="dxa"/>
            <w:shd w:val="clear" w:color="auto" w:fill="D0CECE" w:themeFill="background2" w:themeFillShade="E6"/>
          </w:tcPr>
          <w:p w14:paraId="288AF345" w14:textId="77777777" w:rsidR="00D053C0" w:rsidRPr="00D7468F" w:rsidRDefault="00D053C0" w:rsidP="00D053C0">
            <w:pPr>
              <w:rPr>
                <w:rFonts w:ascii="Sto TT" w:hAnsi="Sto TT" w:cs="Arial"/>
                <w:b/>
                <w:bCs/>
                <w:sz w:val="18"/>
                <w:szCs w:val="18"/>
                <w:lang w:val="pt-PT"/>
              </w:rPr>
            </w:pPr>
          </w:p>
        </w:tc>
        <w:tc>
          <w:tcPr>
            <w:tcW w:w="1864" w:type="dxa"/>
            <w:vAlign w:val="center"/>
          </w:tcPr>
          <w:p w14:paraId="65E191C3" w14:textId="77777777" w:rsidR="00D053C0" w:rsidRPr="00D7468F" w:rsidRDefault="00D053C0" w:rsidP="00D053C0">
            <w:pPr>
              <w:rPr>
                <w:rFonts w:ascii="Sto TT" w:hAnsi="Sto TT" w:cs="Arial"/>
                <w:b/>
                <w:bCs/>
                <w:sz w:val="18"/>
                <w:szCs w:val="18"/>
                <w:lang w:val="pt-PT"/>
              </w:rPr>
            </w:pPr>
            <w:r w:rsidRPr="00D7468F">
              <w:rPr>
                <w:rFonts w:ascii="Sto TT" w:hAnsi="Sto TT" w:cs="Arial"/>
                <w:b/>
                <w:bCs/>
                <w:sz w:val="18"/>
                <w:szCs w:val="18"/>
                <w:lang w:val="pt-PT"/>
              </w:rPr>
              <w:t>Trawik ALU-RL</w:t>
            </w:r>
          </w:p>
          <w:p w14:paraId="1B27B1DC" w14:textId="19A1CD52" w:rsidR="00D053C0" w:rsidRPr="00D7468F" w:rsidRDefault="00D053C0" w:rsidP="00D053C0">
            <w:pPr>
              <w:jc w:val="center"/>
              <w:rPr>
                <w:rFonts w:ascii="Sto TT" w:hAnsi="Sto TT" w:cs="Arial"/>
                <w:b/>
                <w:bCs/>
                <w:color w:val="92D050"/>
                <w:sz w:val="18"/>
                <w:szCs w:val="18"/>
              </w:rPr>
            </w:pPr>
            <w:r w:rsidRPr="00D7468F">
              <w:rPr>
                <w:rFonts w:ascii="Sto TT" w:hAnsi="Sto TT" w:cs="Arial"/>
                <w:b/>
                <w:bCs/>
                <w:noProof/>
                <w:sz w:val="18"/>
                <w:szCs w:val="18"/>
              </w:rPr>
              <w:drawing>
                <wp:inline distT="0" distB="0" distL="0" distR="0" wp14:anchorId="6F4E7058" wp14:editId="2F38CA98">
                  <wp:extent cx="720000" cy="720000"/>
                  <wp:effectExtent l="0" t="0" r="4445" b="4445"/>
                  <wp:docPr id="1249191184"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49CCAC7" w14:textId="77777777" w:rsidR="00D053C0" w:rsidRPr="00D7468F" w:rsidRDefault="00D053C0" w:rsidP="00D053C0">
            <w:pPr>
              <w:jc w:val="center"/>
              <w:rPr>
                <w:rFonts w:ascii="Sto TT" w:hAnsi="Sto TT" w:cs="Arial"/>
                <w:sz w:val="18"/>
                <w:szCs w:val="18"/>
              </w:rPr>
            </w:pPr>
            <w:r w:rsidRPr="00D7468F">
              <w:rPr>
                <w:rFonts w:ascii="Sto TT" w:hAnsi="Sto TT" w:cs="Arial"/>
                <w:sz w:val="18"/>
                <w:szCs w:val="18"/>
              </w:rPr>
              <w:t>Balustrades, garde-corps Store Banne</w:t>
            </w:r>
          </w:p>
          <w:p w14:paraId="3E1C2BF4" w14:textId="77777777" w:rsidR="00D053C0" w:rsidRPr="00D7468F" w:rsidRDefault="00D053C0" w:rsidP="00D053C0">
            <w:pPr>
              <w:jc w:val="center"/>
              <w:rPr>
                <w:rFonts w:ascii="Sto TT" w:hAnsi="Sto TT" w:cs="Arial"/>
                <w:color w:val="92D050"/>
                <w:sz w:val="18"/>
                <w:szCs w:val="18"/>
              </w:rPr>
            </w:pPr>
          </w:p>
          <w:p w14:paraId="5CDF14DE" w14:textId="59CF0CA0" w:rsidR="00D053C0" w:rsidRPr="00D7468F" w:rsidRDefault="00D053C0" w:rsidP="00D053C0">
            <w:pPr>
              <w:jc w:val="center"/>
              <w:rPr>
                <w:rFonts w:ascii="Sto TT" w:hAnsi="Sto TT" w:cs="Arial"/>
                <w:b/>
                <w:bCs/>
                <w:color w:val="92D050"/>
                <w:sz w:val="18"/>
                <w:szCs w:val="18"/>
              </w:rPr>
            </w:pPr>
            <w:r w:rsidRPr="00D7468F">
              <w:rPr>
                <w:rFonts w:ascii="Sto TT" w:hAnsi="Sto TT" w:cs="Arial"/>
                <w:color w:val="2E74B5" w:themeColor="accent5" w:themeShade="BF"/>
                <w:sz w:val="18"/>
                <w:szCs w:val="18"/>
              </w:rPr>
              <w:t>Fixer uniquement dans les montants de l’ossature</w:t>
            </w:r>
          </w:p>
        </w:tc>
        <w:tc>
          <w:tcPr>
            <w:tcW w:w="1464" w:type="dxa"/>
            <w:vAlign w:val="center"/>
          </w:tcPr>
          <w:p w14:paraId="75308194" w14:textId="44B52CDB" w:rsidR="00D053C0" w:rsidRPr="00D7468F" w:rsidRDefault="00D053C0" w:rsidP="00D053C0">
            <w:pPr>
              <w:jc w:val="center"/>
              <w:rPr>
                <w:rFonts w:ascii="Sto TT" w:hAnsi="Sto TT" w:cs="Arial"/>
                <w:b/>
                <w:bCs/>
                <w:color w:val="92D050"/>
                <w:sz w:val="18"/>
                <w:szCs w:val="18"/>
              </w:rPr>
            </w:pPr>
            <w:r w:rsidRPr="00D7468F">
              <w:rPr>
                <w:rFonts w:ascii="Sto TT" w:hAnsi="Sto TT" w:cs="Arial"/>
                <w:sz w:val="18"/>
                <w:szCs w:val="18"/>
                <w:lang w:val="pt-PT"/>
              </w:rPr>
              <w:t>Moyennes à lourdes</w:t>
            </w:r>
          </w:p>
        </w:tc>
      </w:tr>
      <w:tr w:rsidR="00D053C0" w:rsidRPr="00D7468F" w14:paraId="7F35BCED" w14:textId="77777777" w:rsidTr="00D053C0">
        <w:trPr>
          <w:trHeight w:val="1098"/>
        </w:trPr>
        <w:tc>
          <w:tcPr>
            <w:tcW w:w="1864" w:type="dxa"/>
            <w:vAlign w:val="center"/>
          </w:tcPr>
          <w:p w14:paraId="4A71BE7C" w14:textId="77777777" w:rsidR="00D053C0" w:rsidRPr="00D7468F" w:rsidRDefault="00D053C0" w:rsidP="00D053C0">
            <w:pPr>
              <w:tabs>
                <w:tab w:val="left" w:pos="768"/>
              </w:tabs>
              <w:rPr>
                <w:rFonts w:ascii="Sto TT" w:hAnsi="Sto TT" w:cs="Arial"/>
                <w:b/>
                <w:bCs/>
                <w:sz w:val="18"/>
                <w:szCs w:val="18"/>
              </w:rPr>
            </w:pPr>
            <w:r w:rsidRPr="00D7468F">
              <w:rPr>
                <w:rFonts w:ascii="Sto TT" w:hAnsi="Sto TT" w:cs="Arial"/>
                <w:b/>
                <w:bCs/>
                <w:sz w:val="18"/>
                <w:szCs w:val="18"/>
              </w:rPr>
              <w:t>Rondelle</w:t>
            </w:r>
          </w:p>
          <w:p w14:paraId="4ED0B40F" w14:textId="08A573FE" w:rsidR="00D053C0" w:rsidRPr="00D7468F" w:rsidRDefault="00D053C0" w:rsidP="00D053C0">
            <w:pPr>
              <w:rPr>
                <w:rFonts w:ascii="Sto TT" w:hAnsi="Sto TT" w:cs="Arial"/>
                <w:sz w:val="18"/>
                <w:szCs w:val="18"/>
              </w:rPr>
            </w:pPr>
            <w:r w:rsidRPr="00D7468F">
              <w:rPr>
                <w:rFonts w:ascii="Sto TT" w:hAnsi="Sto TT" w:cs="Arial"/>
                <w:noProof/>
                <w:sz w:val="18"/>
                <w:szCs w:val="18"/>
              </w:rPr>
              <w:drawing>
                <wp:inline distT="0" distB="0" distL="0" distR="0" wp14:anchorId="4E5F7BB0" wp14:editId="4018F36B">
                  <wp:extent cx="720000" cy="720000"/>
                  <wp:effectExtent l="0" t="0" r="4445" b="4445"/>
                  <wp:docPr id="1575358939"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37988DC6" w14:textId="47C5F898" w:rsidR="00D053C0" w:rsidRPr="00D7468F" w:rsidRDefault="00D053C0" w:rsidP="00D053C0">
            <w:pPr>
              <w:jc w:val="center"/>
              <w:rPr>
                <w:rFonts w:ascii="Sto TT" w:hAnsi="Sto TT" w:cs="Arial"/>
                <w:sz w:val="18"/>
                <w:szCs w:val="18"/>
              </w:rPr>
            </w:pPr>
            <w:r w:rsidRPr="00D7468F">
              <w:rPr>
                <w:rFonts w:ascii="Sto TT" w:hAnsi="Sto TT" w:cs="Arial"/>
                <w:sz w:val="18"/>
                <w:szCs w:val="18"/>
              </w:rPr>
              <w:t>Panneaux, coulisses de volets roulants, etc.</w:t>
            </w:r>
          </w:p>
        </w:tc>
        <w:tc>
          <w:tcPr>
            <w:tcW w:w="1454" w:type="dxa"/>
            <w:tcBorders>
              <w:bottom w:val="single" w:sz="4" w:space="0" w:color="auto"/>
            </w:tcBorders>
            <w:vAlign w:val="center"/>
          </w:tcPr>
          <w:p w14:paraId="7283B51A" w14:textId="4BE9E08F" w:rsidR="00D053C0" w:rsidRPr="00D7468F" w:rsidRDefault="00D053C0" w:rsidP="00D053C0">
            <w:pPr>
              <w:jc w:val="center"/>
              <w:rPr>
                <w:rFonts w:ascii="Sto TT" w:hAnsi="Sto TT" w:cs="Arial"/>
                <w:sz w:val="18"/>
                <w:szCs w:val="18"/>
              </w:rPr>
            </w:pPr>
            <w:r w:rsidRPr="00D7468F">
              <w:rPr>
                <w:rFonts w:ascii="Sto TT" w:hAnsi="Sto TT" w:cs="Arial"/>
                <w:sz w:val="18"/>
                <w:szCs w:val="18"/>
              </w:rPr>
              <w:t>Légers</w:t>
            </w:r>
          </w:p>
        </w:tc>
        <w:tc>
          <w:tcPr>
            <w:tcW w:w="222" w:type="dxa"/>
            <w:shd w:val="clear" w:color="auto" w:fill="D0CECE" w:themeFill="background2" w:themeFillShade="E6"/>
          </w:tcPr>
          <w:p w14:paraId="41C78DEC" w14:textId="77777777" w:rsidR="00D053C0" w:rsidRPr="00D7468F" w:rsidRDefault="00D053C0" w:rsidP="00D053C0">
            <w:pPr>
              <w:rPr>
                <w:rFonts w:ascii="Sto TT" w:hAnsi="Sto TT" w:cs="Arial"/>
                <w:b/>
                <w:bCs/>
                <w:sz w:val="18"/>
                <w:szCs w:val="18"/>
                <w:lang w:val="pt-PT"/>
              </w:rPr>
            </w:pPr>
          </w:p>
        </w:tc>
        <w:tc>
          <w:tcPr>
            <w:tcW w:w="1864" w:type="dxa"/>
            <w:vAlign w:val="center"/>
          </w:tcPr>
          <w:p w14:paraId="7449099C" w14:textId="77777777" w:rsidR="00D053C0" w:rsidRPr="00D7468F" w:rsidRDefault="00D053C0" w:rsidP="00D053C0">
            <w:pPr>
              <w:rPr>
                <w:rFonts w:ascii="Sto TT" w:hAnsi="Sto TT" w:cs="Arial"/>
                <w:b/>
                <w:bCs/>
                <w:sz w:val="18"/>
                <w:szCs w:val="18"/>
                <w:lang w:val="pt-PT"/>
              </w:rPr>
            </w:pPr>
            <w:r w:rsidRPr="00D7468F">
              <w:rPr>
                <w:rFonts w:ascii="Sto TT" w:hAnsi="Sto TT" w:cs="Arial"/>
                <w:b/>
                <w:bCs/>
                <w:sz w:val="18"/>
                <w:szCs w:val="18"/>
                <w:lang w:val="pt-PT"/>
              </w:rPr>
              <w:t>UMP-ALU-TR</w:t>
            </w:r>
          </w:p>
          <w:p w14:paraId="4EB75329" w14:textId="310299D0" w:rsidR="00D053C0" w:rsidRPr="00D7468F" w:rsidRDefault="00D053C0" w:rsidP="00D053C0">
            <w:pPr>
              <w:jc w:val="center"/>
              <w:rPr>
                <w:rFonts w:ascii="Sto TT" w:hAnsi="Sto TT" w:cs="Arial"/>
                <w:b/>
                <w:bCs/>
                <w:color w:val="92D050"/>
                <w:sz w:val="18"/>
                <w:szCs w:val="18"/>
              </w:rPr>
            </w:pPr>
            <w:r w:rsidRPr="00D7468F">
              <w:rPr>
                <w:rFonts w:ascii="Sto TT" w:hAnsi="Sto TT" w:cs="Arial"/>
                <w:b/>
                <w:bCs/>
                <w:noProof/>
                <w:sz w:val="18"/>
                <w:szCs w:val="18"/>
              </w:rPr>
              <w:drawing>
                <wp:inline distT="0" distB="0" distL="0" distR="0" wp14:anchorId="4BD38905" wp14:editId="0D3C5119">
                  <wp:extent cx="720000" cy="720000"/>
                  <wp:effectExtent l="0" t="0" r="4445" b="4445"/>
                  <wp:docPr id="1006137537"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3BAC0892" w14:textId="77777777" w:rsidR="00D053C0" w:rsidRPr="00D7468F" w:rsidRDefault="00D053C0" w:rsidP="00D053C0">
            <w:pPr>
              <w:jc w:val="center"/>
              <w:rPr>
                <w:rFonts w:ascii="Sto TT" w:hAnsi="Sto TT" w:cs="Arial"/>
                <w:sz w:val="18"/>
                <w:szCs w:val="18"/>
              </w:rPr>
            </w:pPr>
            <w:r w:rsidRPr="00D7468F">
              <w:rPr>
                <w:rFonts w:ascii="Sto TT" w:hAnsi="Sto TT" w:cs="Arial"/>
                <w:sz w:val="18"/>
                <w:szCs w:val="18"/>
              </w:rPr>
              <w:t>Balustrades, garde-corps Store Banne Store Banne</w:t>
            </w:r>
          </w:p>
          <w:p w14:paraId="51D1A02E" w14:textId="77777777" w:rsidR="00D053C0" w:rsidRPr="00D7468F" w:rsidRDefault="00D053C0" w:rsidP="00D053C0">
            <w:pPr>
              <w:jc w:val="center"/>
              <w:rPr>
                <w:rFonts w:ascii="Sto TT" w:hAnsi="Sto TT" w:cs="Arial"/>
                <w:color w:val="92D050"/>
                <w:sz w:val="18"/>
                <w:szCs w:val="18"/>
              </w:rPr>
            </w:pPr>
          </w:p>
          <w:p w14:paraId="69FE33D1" w14:textId="71FAE810" w:rsidR="00D053C0" w:rsidRPr="00D7468F" w:rsidRDefault="00D053C0" w:rsidP="00D053C0">
            <w:pPr>
              <w:jc w:val="center"/>
              <w:rPr>
                <w:rFonts w:ascii="Sto TT" w:hAnsi="Sto TT" w:cs="Arial"/>
                <w:b/>
                <w:bCs/>
                <w:color w:val="92D050"/>
                <w:sz w:val="18"/>
                <w:szCs w:val="18"/>
              </w:rPr>
            </w:pPr>
            <w:r w:rsidRPr="00D7468F">
              <w:rPr>
                <w:rFonts w:ascii="Sto TT" w:hAnsi="Sto TT" w:cs="Arial"/>
                <w:color w:val="2E74B5" w:themeColor="accent5" w:themeShade="BF"/>
                <w:sz w:val="18"/>
                <w:szCs w:val="18"/>
              </w:rPr>
              <w:t>Fixer uniquement dans les montants de l’ossature</w:t>
            </w:r>
          </w:p>
        </w:tc>
        <w:tc>
          <w:tcPr>
            <w:tcW w:w="1464" w:type="dxa"/>
            <w:vAlign w:val="center"/>
          </w:tcPr>
          <w:p w14:paraId="5816D6A8" w14:textId="0B3CEAC6" w:rsidR="00D053C0" w:rsidRPr="00D7468F" w:rsidRDefault="00D053C0" w:rsidP="00D053C0">
            <w:pPr>
              <w:jc w:val="center"/>
              <w:rPr>
                <w:rFonts w:ascii="Sto TT" w:hAnsi="Sto TT" w:cs="Arial"/>
                <w:b/>
                <w:bCs/>
                <w:color w:val="92D050"/>
                <w:sz w:val="18"/>
                <w:szCs w:val="18"/>
              </w:rPr>
            </w:pPr>
            <w:r w:rsidRPr="00D7468F">
              <w:rPr>
                <w:rFonts w:ascii="Sto TT" w:hAnsi="Sto TT" w:cs="Arial"/>
                <w:sz w:val="18"/>
                <w:szCs w:val="18"/>
                <w:lang w:val="pt-PT"/>
              </w:rPr>
              <w:t>Moyennes à lourdes</w:t>
            </w:r>
          </w:p>
        </w:tc>
      </w:tr>
      <w:tr w:rsidR="00D053C0" w:rsidRPr="00D7468F" w14:paraId="51447CB0" w14:textId="77777777" w:rsidTr="00D053C0">
        <w:trPr>
          <w:trHeight w:val="651"/>
        </w:trPr>
        <w:tc>
          <w:tcPr>
            <w:tcW w:w="1864" w:type="dxa"/>
            <w:vAlign w:val="center"/>
          </w:tcPr>
          <w:p w14:paraId="25DFFC91" w14:textId="77777777" w:rsidR="00D053C0" w:rsidRPr="00D7468F" w:rsidRDefault="00D053C0" w:rsidP="00D053C0">
            <w:pPr>
              <w:rPr>
                <w:rFonts w:ascii="Sto TT" w:hAnsi="Sto TT" w:cs="Arial"/>
                <w:b/>
                <w:bCs/>
                <w:sz w:val="18"/>
                <w:szCs w:val="18"/>
              </w:rPr>
            </w:pPr>
            <w:r w:rsidRPr="00D7468F">
              <w:rPr>
                <w:rFonts w:ascii="Sto TT" w:hAnsi="Sto TT" w:cs="Arial"/>
                <w:b/>
                <w:bCs/>
                <w:sz w:val="18"/>
                <w:szCs w:val="18"/>
              </w:rPr>
              <w:t>Iso-Dart</w:t>
            </w:r>
          </w:p>
          <w:p w14:paraId="7D9DEA8D" w14:textId="1CE90ADD" w:rsidR="00D053C0" w:rsidRPr="00D7468F" w:rsidRDefault="00D053C0" w:rsidP="00D053C0">
            <w:pPr>
              <w:rPr>
                <w:rFonts w:ascii="Sto TT" w:hAnsi="Sto TT" w:cs="Arial"/>
                <w:sz w:val="18"/>
                <w:szCs w:val="18"/>
              </w:rPr>
            </w:pPr>
            <w:r w:rsidRPr="00D7468F">
              <w:rPr>
                <w:rFonts w:ascii="Sto TT" w:hAnsi="Sto TT" w:cs="Arial"/>
                <w:noProof/>
                <w:sz w:val="18"/>
                <w:szCs w:val="18"/>
              </w:rPr>
              <w:drawing>
                <wp:inline distT="0" distB="0" distL="0" distR="0" wp14:anchorId="33527F00" wp14:editId="7EDEFE1C">
                  <wp:extent cx="720000" cy="720000"/>
                  <wp:effectExtent l="0" t="0" r="4445" b="4445"/>
                  <wp:docPr id="1903425621"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3DA9D4E6" w14:textId="77777777" w:rsidR="00D053C0" w:rsidRPr="00D7468F" w:rsidRDefault="00D053C0" w:rsidP="00D053C0">
            <w:pPr>
              <w:jc w:val="center"/>
              <w:rPr>
                <w:rFonts w:ascii="Sto TT" w:hAnsi="Sto TT" w:cs="Arial"/>
                <w:sz w:val="18"/>
                <w:szCs w:val="18"/>
              </w:rPr>
            </w:pPr>
            <w:r w:rsidRPr="00D7468F">
              <w:rPr>
                <w:rFonts w:ascii="Sto TT" w:hAnsi="Sto TT" w:cs="Arial"/>
                <w:sz w:val="18"/>
                <w:szCs w:val="18"/>
              </w:rPr>
              <w:t>Lampes, plaques ou colliers de</w:t>
            </w:r>
          </w:p>
          <w:p w14:paraId="3759571E" w14:textId="77777777" w:rsidR="00D053C0" w:rsidRPr="00D7468F" w:rsidRDefault="00D053C0" w:rsidP="00D053C0">
            <w:pPr>
              <w:jc w:val="center"/>
              <w:rPr>
                <w:rFonts w:ascii="Sto TT" w:hAnsi="Sto TT" w:cs="Arial"/>
                <w:sz w:val="18"/>
                <w:szCs w:val="18"/>
              </w:rPr>
            </w:pPr>
            <w:r w:rsidRPr="00D7468F">
              <w:rPr>
                <w:rFonts w:ascii="Sto TT" w:hAnsi="Sto TT" w:cs="Arial"/>
                <w:sz w:val="18"/>
                <w:szCs w:val="18"/>
              </w:rPr>
              <w:t>Tuyaux de descente</w:t>
            </w:r>
          </w:p>
          <w:p w14:paraId="523694CB" w14:textId="796FF263" w:rsidR="00D053C0" w:rsidRPr="00D7468F" w:rsidRDefault="00D053C0" w:rsidP="00D053C0">
            <w:pPr>
              <w:jc w:val="center"/>
              <w:rPr>
                <w:rFonts w:ascii="Sto TT" w:hAnsi="Sto TT" w:cs="Arial"/>
                <w:sz w:val="18"/>
                <w:szCs w:val="18"/>
              </w:rPr>
            </w:pPr>
            <w:r w:rsidRPr="00D7468F">
              <w:rPr>
                <w:rFonts w:ascii="Sto TT" w:hAnsi="Sto TT" w:cs="Arial"/>
                <w:color w:val="2E74B5" w:themeColor="accent5" w:themeShade="BF"/>
                <w:sz w:val="18"/>
                <w:szCs w:val="18"/>
              </w:rPr>
              <w:t>épaisseur isolant moins 20mm (retirer cheville plastique)</w:t>
            </w:r>
          </w:p>
        </w:tc>
        <w:tc>
          <w:tcPr>
            <w:tcW w:w="1454" w:type="dxa"/>
            <w:vAlign w:val="center"/>
          </w:tcPr>
          <w:p w14:paraId="12F7071E" w14:textId="1FBD033D" w:rsidR="00D053C0" w:rsidRPr="00D7468F" w:rsidRDefault="00D053C0" w:rsidP="00D053C0">
            <w:pPr>
              <w:jc w:val="center"/>
              <w:rPr>
                <w:rFonts w:ascii="Sto TT" w:hAnsi="Sto TT" w:cs="Arial"/>
                <w:sz w:val="18"/>
                <w:szCs w:val="18"/>
              </w:rPr>
            </w:pPr>
            <w:r w:rsidRPr="00D7468F">
              <w:rPr>
                <w:rFonts w:ascii="Sto TT" w:hAnsi="Sto TT" w:cs="Arial"/>
                <w:sz w:val="18"/>
                <w:szCs w:val="18"/>
              </w:rPr>
              <w:t>Faibles à moyennes</w:t>
            </w:r>
          </w:p>
        </w:tc>
        <w:tc>
          <w:tcPr>
            <w:tcW w:w="222" w:type="dxa"/>
            <w:shd w:val="clear" w:color="auto" w:fill="D0CECE" w:themeFill="background2" w:themeFillShade="E6"/>
          </w:tcPr>
          <w:p w14:paraId="29D8B56F" w14:textId="77777777" w:rsidR="00D053C0" w:rsidRPr="00D7468F" w:rsidRDefault="00D053C0" w:rsidP="00D053C0">
            <w:pPr>
              <w:rPr>
                <w:rFonts w:ascii="Sto TT" w:hAnsi="Sto TT" w:cs="Arial"/>
                <w:b/>
                <w:bCs/>
                <w:sz w:val="18"/>
                <w:szCs w:val="18"/>
                <w:lang w:val="pt-PT"/>
              </w:rPr>
            </w:pPr>
          </w:p>
        </w:tc>
        <w:tc>
          <w:tcPr>
            <w:tcW w:w="1864" w:type="dxa"/>
            <w:tcBorders>
              <w:bottom w:val="single" w:sz="4" w:space="0" w:color="auto"/>
            </w:tcBorders>
            <w:vAlign w:val="center"/>
          </w:tcPr>
          <w:p w14:paraId="364944D7" w14:textId="313202A5" w:rsidR="00D053C0" w:rsidRPr="00D7468F" w:rsidRDefault="00D053C0" w:rsidP="00D053C0">
            <w:pPr>
              <w:jc w:val="center"/>
              <w:rPr>
                <w:rFonts w:ascii="Sto TT" w:hAnsi="Sto TT" w:cs="Arial"/>
                <w:b/>
                <w:bCs/>
                <w:color w:val="92D050"/>
                <w:sz w:val="18"/>
                <w:szCs w:val="18"/>
                <w:highlight w:val="yellow"/>
              </w:rPr>
            </w:pPr>
          </w:p>
        </w:tc>
        <w:tc>
          <w:tcPr>
            <w:tcW w:w="1827" w:type="dxa"/>
            <w:tcBorders>
              <w:bottom w:val="single" w:sz="4" w:space="0" w:color="auto"/>
            </w:tcBorders>
            <w:vAlign w:val="center"/>
          </w:tcPr>
          <w:p w14:paraId="33E2B90F" w14:textId="669C325B" w:rsidR="00D053C0" w:rsidRPr="00D7468F" w:rsidRDefault="00D053C0" w:rsidP="00D053C0">
            <w:pPr>
              <w:jc w:val="center"/>
              <w:rPr>
                <w:rFonts w:ascii="Sto TT" w:hAnsi="Sto TT" w:cs="Arial"/>
                <w:b/>
                <w:bCs/>
                <w:color w:val="92D050"/>
                <w:sz w:val="18"/>
                <w:szCs w:val="18"/>
                <w:highlight w:val="yellow"/>
              </w:rPr>
            </w:pPr>
          </w:p>
        </w:tc>
        <w:tc>
          <w:tcPr>
            <w:tcW w:w="1464" w:type="dxa"/>
            <w:tcBorders>
              <w:bottom w:val="single" w:sz="4" w:space="0" w:color="auto"/>
            </w:tcBorders>
            <w:vAlign w:val="center"/>
          </w:tcPr>
          <w:p w14:paraId="1BE23CD5" w14:textId="1144B2AA" w:rsidR="00D053C0" w:rsidRPr="00D7468F" w:rsidRDefault="00D053C0" w:rsidP="00D053C0">
            <w:pPr>
              <w:jc w:val="center"/>
              <w:rPr>
                <w:rFonts w:ascii="Sto TT" w:hAnsi="Sto TT" w:cs="Arial"/>
                <w:b/>
                <w:bCs/>
                <w:color w:val="92D050"/>
                <w:sz w:val="18"/>
                <w:szCs w:val="18"/>
                <w:highlight w:val="yellow"/>
              </w:rPr>
            </w:pPr>
          </w:p>
        </w:tc>
      </w:tr>
      <w:tr w:rsidR="00D053C0" w:rsidRPr="00D7468F" w14:paraId="13E5BF20" w14:textId="77777777" w:rsidTr="00D053C0">
        <w:trPr>
          <w:trHeight w:val="434"/>
        </w:trPr>
        <w:tc>
          <w:tcPr>
            <w:tcW w:w="1864" w:type="dxa"/>
            <w:vAlign w:val="center"/>
          </w:tcPr>
          <w:p w14:paraId="38BC564B" w14:textId="77777777" w:rsidR="00D053C0" w:rsidRPr="00D7468F" w:rsidRDefault="00D053C0" w:rsidP="00D053C0">
            <w:pPr>
              <w:rPr>
                <w:rFonts w:ascii="Sto TT" w:hAnsi="Sto TT" w:cs="Arial"/>
                <w:b/>
                <w:bCs/>
                <w:sz w:val="18"/>
                <w:szCs w:val="18"/>
              </w:rPr>
            </w:pPr>
            <w:r w:rsidRPr="00D7468F">
              <w:rPr>
                <w:rFonts w:ascii="Sto TT" w:hAnsi="Sto TT" w:cs="Arial"/>
                <w:b/>
                <w:bCs/>
                <w:sz w:val="18"/>
                <w:szCs w:val="18"/>
              </w:rPr>
              <w:t>Quader HD Maxi</w:t>
            </w:r>
          </w:p>
          <w:p w14:paraId="2D4B93CD" w14:textId="2C475DEE" w:rsidR="00D053C0" w:rsidRPr="00D7468F" w:rsidRDefault="00D053C0" w:rsidP="00D053C0">
            <w:pPr>
              <w:rPr>
                <w:rFonts w:ascii="Sto TT" w:hAnsi="Sto TT" w:cs="Arial"/>
                <w:sz w:val="18"/>
                <w:szCs w:val="18"/>
              </w:rPr>
            </w:pPr>
            <w:r w:rsidRPr="00D7468F">
              <w:rPr>
                <w:rFonts w:ascii="Sto TT" w:hAnsi="Sto TT" w:cs="Arial"/>
                <w:noProof/>
                <w:sz w:val="18"/>
                <w:szCs w:val="18"/>
              </w:rPr>
              <w:drawing>
                <wp:inline distT="0" distB="0" distL="0" distR="0" wp14:anchorId="48EB2F67" wp14:editId="01866840">
                  <wp:extent cx="720000" cy="720000"/>
                  <wp:effectExtent l="0" t="0" r="4445" b="4445"/>
                  <wp:docPr id="1300926756"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4771FA23" w14:textId="45AFE534" w:rsidR="00D053C0" w:rsidRPr="00D7468F" w:rsidRDefault="00D053C0" w:rsidP="00D053C0">
            <w:pPr>
              <w:jc w:val="center"/>
              <w:rPr>
                <w:rFonts w:ascii="Sto TT" w:hAnsi="Sto TT" w:cs="Arial"/>
                <w:sz w:val="18"/>
                <w:szCs w:val="18"/>
              </w:rPr>
            </w:pPr>
            <w:r w:rsidRPr="00D7468F">
              <w:rPr>
                <w:rFonts w:ascii="Sto TT" w:hAnsi="Sto TT" w:cs="Arial"/>
                <w:sz w:val="18"/>
                <w:szCs w:val="18"/>
              </w:rPr>
              <w:t>Cale de compression</w:t>
            </w:r>
          </w:p>
        </w:tc>
        <w:tc>
          <w:tcPr>
            <w:tcW w:w="1454" w:type="dxa"/>
            <w:vAlign w:val="center"/>
          </w:tcPr>
          <w:p w14:paraId="7A95E24F" w14:textId="6DA405BA" w:rsidR="00D053C0" w:rsidRPr="00D7468F" w:rsidRDefault="00D053C0" w:rsidP="00D053C0">
            <w:pPr>
              <w:jc w:val="center"/>
              <w:rPr>
                <w:rFonts w:ascii="Sto TT" w:hAnsi="Sto TT" w:cs="Arial"/>
                <w:sz w:val="18"/>
                <w:szCs w:val="18"/>
              </w:rPr>
            </w:pPr>
            <w:r w:rsidRPr="00D7468F">
              <w:rPr>
                <w:rFonts w:ascii="Sto TT" w:hAnsi="Sto TT" w:cs="Arial"/>
                <w:sz w:val="18"/>
                <w:szCs w:val="18"/>
              </w:rPr>
              <w:t>Lourdes</w:t>
            </w:r>
          </w:p>
        </w:tc>
        <w:tc>
          <w:tcPr>
            <w:tcW w:w="222" w:type="dxa"/>
            <w:shd w:val="clear" w:color="auto" w:fill="D0CECE" w:themeFill="background2" w:themeFillShade="E6"/>
          </w:tcPr>
          <w:p w14:paraId="6317E97B" w14:textId="77777777" w:rsidR="00D053C0" w:rsidRPr="00D7468F" w:rsidRDefault="00D053C0" w:rsidP="00D053C0">
            <w:pPr>
              <w:rPr>
                <w:rFonts w:ascii="Sto TT" w:hAnsi="Sto TT" w:cs="Arial"/>
                <w:b/>
                <w:bCs/>
                <w:sz w:val="18"/>
                <w:szCs w:val="18"/>
                <w:lang w:val="pt-PT"/>
              </w:rPr>
            </w:pPr>
          </w:p>
        </w:tc>
        <w:tc>
          <w:tcPr>
            <w:tcW w:w="1864" w:type="dxa"/>
            <w:tcBorders>
              <w:bottom w:val="single" w:sz="4" w:space="0" w:color="auto"/>
            </w:tcBorders>
            <w:vAlign w:val="center"/>
          </w:tcPr>
          <w:p w14:paraId="6A994A11" w14:textId="487CB56B" w:rsidR="00D053C0" w:rsidRPr="00D7468F" w:rsidRDefault="00D053C0" w:rsidP="00D053C0">
            <w:pPr>
              <w:jc w:val="center"/>
              <w:rPr>
                <w:rFonts w:ascii="Sto TT" w:hAnsi="Sto TT" w:cs="Arial"/>
                <w:b/>
                <w:bCs/>
                <w:color w:val="92D050"/>
                <w:sz w:val="18"/>
                <w:szCs w:val="18"/>
              </w:rPr>
            </w:pPr>
          </w:p>
        </w:tc>
        <w:tc>
          <w:tcPr>
            <w:tcW w:w="1827" w:type="dxa"/>
            <w:tcBorders>
              <w:bottom w:val="single" w:sz="4" w:space="0" w:color="auto"/>
            </w:tcBorders>
            <w:vAlign w:val="center"/>
          </w:tcPr>
          <w:p w14:paraId="15BB640A" w14:textId="7348A5A8" w:rsidR="00D053C0" w:rsidRPr="00D7468F" w:rsidRDefault="00D053C0" w:rsidP="00D053C0">
            <w:pPr>
              <w:jc w:val="center"/>
              <w:rPr>
                <w:rFonts w:ascii="Sto TT" w:hAnsi="Sto TT" w:cs="Arial"/>
                <w:b/>
                <w:bCs/>
                <w:color w:val="92D050"/>
                <w:sz w:val="18"/>
                <w:szCs w:val="18"/>
              </w:rPr>
            </w:pPr>
          </w:p>
        </w:tc>
        <w:tc>
          <w:tcPr>
            <w:tcW w:w="1464" w:type="dxa"/>
            <w:tcBorders>
              <w:bottom w:val="single" w:sz="4" w:space="0" w:color="auto"/>
            </w:tcBorders>
            <w:vAlign w:val="center"/>
          </w:tcPr>
          <w:p w14:paraId="50F9A2C2" w14:textId="45080B6D" w:rsidR="00D053C0" w:rsidRPr="00D7468F" w:rsidRDefault="00D053C0" w:rsidP="00D053C0">
            <w:pPr>
              <w:jc w:val="center"/>
              <w:rPr>
                <w:rFonts w:ascii="Sto TT" w:hAnsi="Sto TT" w:cs="Arial"/>
                <w:b/>
                <w:bCs/>
                <w:color w:val="92D050"/>
                <w:sz w:val="18"/>
                <w:szCs w:val="18"/>
              </w:rPr>
            </w:pPr>
          </w:p>
        </w:tc>
      </w:tr>
    </w:tbl>
    <w:p w14:paraId="009BD767" w14:textId="77777777" w:rsidR="0017434C" w:rsidRPr="00D7468F" w:rsidRDefault="0017434C" w:rsidP="0017434C">
      <w:pPr>
        <w:ind w:left="-709" w:right="1"/>
        <w:jc w:val="center"/>
        <w:rPr>
          <w:rFonts w:ascii="Sto TT" w:eastAsia="Verdana" w:hAnsi="Sto TT" w:cs="Arial"/>
          <w:b/>
          <w:bCs/>
          <w:sz w:val="18"/>
          <w:szCs w:val="18"/>
          <w:lang w:val="nb-NO"/>
        </w:rPr>
      </w:pPr>
    </w:p>
    <w:p w14:paraId="75A3375F" w14:textId="77777777" w:rsidR="0017434C" w:rsidRPr="00D7468F" w:rsidRDefault="0017434C" w:rsidP="0017434C">
      <w:pPr>
        <w:rPr>
          <w:rFonts w:ascii="Sto TT" w:eastAsia="Verdana" w:hAnsi="Sto TT" w:cs="Arial"/>
          <w:sz w:val="18"/>
          <w:szCs w:val="18"/>
        </w:rPr>
      </w:pPr>
      <w:r w:rsidRPr="00D7468F">
        <w:rPr>
          <w:rFonts w:ascii="Sto TT" w:eastAsia="Verdana" w:hAnsi="Sto TT" w:cs="Arial"/>
          <w:sz w:val="18"/>
          <w:szCs w:val="18"/>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7434C" w:rsidRPr="00D7468F" w14:paraId="2CBBD71E" w14:textId="77777777" w:rsidTr="00E80E5E">
        <w:trPr>
          <w:trHeight w:val="12333"/>
        </w:trPr>
        <w:tc>
          <w:tcPr>
            <w:tcW w:w="10490" w:type="dxa"/>
            <w:tcBorders>
              <w:top w:val="nil"/>
              <w:left w:val="nil"/>
              <w:bottom w:val="nil"/>
              <w:right w:val="nil"/>
            </w:tcBorders>
          </w:tcPr>
          <w:p w14:paraId="1190371E" w14:textId="77777777" w:rsidR="0017434C" w:rsidRPr="00D7468F" w:rsidRDefault="0017434C" w:rsidP="00E80E5E">
            <w:pPr>
              <w:ind w:left="-709" w:right="1" w:firstLine="283"/>
              <w:jc w:val="center"/>
              <w:rPr>
                <w:rFonts w:ascii="Sto TT" w:hAnsi="Sto TT" w:cs="Arial"/>
                <w:b/>
                <w:color w:val="FFFFFF"/>
                <w:sz w:val="18"/>
                <w:szCs w:val="18"/>
              </w:rPr>
            </w:pPr>
            <w:r w:rsidRPr="00D7468F">
              <w:rPr>
                <w:rFonts w:ascii="Sto TT" w:hAnsi="Sto TT" w:cs="Arial"/>
                <w:noProof/>
                <w:sz w:val="18"/>
                <w:szCs w:val="18"/>
              </w:rPr>
              <w:lastRenderedPageBreak/>
              <mc:AlternateContent>
                <mc:Choice Requires="wps">
                  <w:drawing>
                    <wp:anchor distT="0" distB="0" distL="114300" distR="114300" simplePos="0" relativeHeight="251664384" behindDoc="1" locked="0" layoutInCell="1" allowOverlap="1" wp14:anchorId="40CDADD3" wp14:editId="2D923D0A">
                      <wp:simplePos x="0" y="0"/>
                      <wp:positionH relativeFrom="column">
                        <wp:posOffset>-115570</wp:posOffset>
                      </wp:positionH>
                      <wp:positionV relativeFrom="paragraph">
                        <wp:posOffset>-53926</wp:posOffset>
                      </wp:positionV>
                      <wp:extent cx="6612255" cy="237490"/>
                      <wp:effectExtent l="0" t="0" r="0" b="0"/>
                      <wp:wrapNone/>
                      <wp:docPr id="2184132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4006818" id="Rectangle 100" o:spid="_x0000_s1026" style="position:absolute;margin-left:-9.1pt;margin-top:-4.25pt;width:520.6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D7468F">
              <w:rPr>
                <w:rFonts w:ascii="Sto TT" w:hAnsi="Sto TT" w:cs="Arial"/>
                <w:b/>
                <w:color w:val="FFFFFF"/>
                <w:sz w:val="18"/>
                <w:szCs w:val="18"/>
              </w:rPr>
              <w:t>OBSERVATIONS GENERALES</w:t>
            </w:r>
          </w:p>
          <w:p w14:paraId="649F45CD" w14:textId="77777777" w:rsidR="0017434C" w:rsidRPr="00D7468F" w:rsidRDefault="0017434C" w:rsidP="00E80E5E">
            <w:pPr>
              <w:ind w:left="-709" w:right="1" w:firstLine="283"/>
              <w:rPr>
                <w:rFonts w:ascii="Sto TT" w:hAnsi="Sto TT" w:cs="Arial"/>
                <w:b/>
                <w:bCs/>
                <w:color w:val="000000"/>
                <w:sz w:val="18"/>
                <w:szCs w:val="18"/>
              </w:rPr>
            </w:pPr>
          </w:p>
          <w:p w14:paraId="4D45A363" w14:textId="77777777" w:rsidR="0017434C" w:rsidRPr="00D7468F" w:rsidRDefault="0017434C" w:rsidP="00E85501">
            <w:pPr>
              <w:ind w:right="1"/>
              <w:jc w:val="both"/>
              <w:rPr>
                <w:rFonts w:ascii="Sto TT" w:eastAsia="Courier New" w:hAnsi="Sto TT" w:cs="Arial"/>
                <w:sz w:val="17"/>
                <w:szCs w:val="17"/>
              </w:rPr>
            </w:pPr>
            <w:r w:rsidRPr="00D7468F">
              <w:rPr>
                <w:rFonts w:ascii="Sto TT" w:eastAsia="Verdana" w:hAnsi="Sto TT" w:cs="Arial"/>
                <w:b/>
                <w:bCs/>
                <w:sz w:val="17"/>
                <w:szCs w:val="17"/>
                <w:u w:val="single"/>
              </w:rPr>
              <w:t>Validité de la recommandation</w:t>
            </w:r>
          </w:p>
          <w:p w14:paraId="0399E59C"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sz w:val="17"/>
                <w:szCs w:val="17"/>
              </w:rPr>
              <w:t>Compte tenu de l’avancée de nos technologies ainsi que de l’évolution physique possible de la construction en question, la validité de la présente proposition est d’</w:t>
            </w:r>
            <w:r w:rsidRPr="00D7468F">
              <w:rPr>
                <w:rFonts w:ascii="Sto TT" w:eastAsia="Verdana" w:hAnsi="Sto TT" w:cs="Arial"/>
                <w:b/>
                <w:bCs/>
                <w:sz w:val="17"/>
                <w:szCs w:val="17"/>
              </w:rPr>
              <w:t>un an</w:t>
            </w:r>
            <w:r w:rsidRPr="00D7468F">
              <w:rPr>
                <w:rFonts w:ascii="Sto TT" w:eastAsia="Verdana" w:hAnsi="Sto TT" w:cs="Arial"/>
                <w:sz w:val="17"/>
                <w:szCs w:val="17"/>
              </w:rPr>
              <w:t xml:space="preserve"> à compter de la date de la préconisation.</w:t>
            </w:r>
          </w:p>
          <w:p w14:paraId="420A4094"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E5C3C5E" w14:textId="77777777" w:rsidR="0017434C" w:rsidRPr="00D7468F" w:rsidRDefault="0017434C" w:rsidP="00E85501">
            <w:pPr>
              <w:jc w:val="both"/>
              <w:rPr>
                <w:rFonts w:ascii="Sto TT" w:eastAsia="Verdana" w:hAnsi="Sto TT" w:cs="Arial"/>
                <w:sz w:val="17"/>
                <w:szCs w:val="17"/>
              </w:rPr>
            </w:pPr>
          </w:p>
          <w:p w14:paraId="5384AA61"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238928FA" w14:textId="77777777" w:rsidR="0017434C" w:rsidRPr="00D7468F" w:rsidRDefault="0017434C" w:rsidP="00E85501">
            <w:pPr>
              <w:jc w:val="both"/>
              <w:rPr>
                <w:rFonts w:ascii="Sto TT" w:eastAsia="Verdana" w:hAnsi="Sto TT" w:cs="Arial"/>
                <w:sz w:val="17"/>
                <w:szCs w:val="17"/>
              </w:rPr>
            </w:pPr>
          </w:p>
          <w:p w14:paraId="5FF5BB36"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sz w:val="17"/>
                <w:szCs w:val="17"/>
              </w:rPr>
              <w:t>Les photos intégrées au présent document le sont à titre indicatif. Elles visent à illustrer certains éléments et à faciliter la compréhension. Elles ne prévalent en rien des prestations à réaliser.</w:t>
            </w:r>
          </w:p>
          <w:p w14:paraId="711BEFE4" w14:textId="77777777" w:rsidR="0017434C" w:rsidRPr="00D7468F" w:rsidRDefault="0017434C" w:rsidP="00E85501">
            <w:pPr>
              <w:jc w:val="both"/>
              <w:rPr>
                <w:rFonts w:ascii="Sto TT" w:eastAsia="Verdana" w:hAnsi="Sto TT" w:cs="Arial"/>
                <w:sz w:val="17"/>
                <w:szCs w:val="17"/>
              </w:rPr>
            </w:pPr>
          </w:p>
          <w:p w14:paraId="57CEDF89"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sz w:val="17"/>
                <w:szCs w:val="17"/>
              </w:rPr>
              <w:t>La présente préconisation est destinée à la seule utilisation des produits Sto, en complément de la documentation technique de ces produits, à l'exclusion de tout autre usage.</w:t>
            </w:r>
          </w:p>
          <w:p w14:paraId="36625F37" w14:textId="77777777" w:rsidR="0017434C" w:rsidRPr="00D7468F" w:rsidRDefault="0017434C" w:rsidP="00E85501">
            <w:pPr>
              <w:jc w:val="both"/>
              <w:rPr>
                <w:rFonts w:ascii="Sto TT" w:eastAsia="Verdana" w:hAnsi="Sto TT" w:cs="Arial"/>
                <w:sz w:val="17"/>
                <w:szCs w:val="17"/>
              </w:rPr>
            </w:pPr>
          </w:p>
          <w:p w14:paraId="76EB8FA7"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sz w:val="17"/>
                <w:szCs w:val="17"/>
              </w:rPr>
              <w:t>La mise en œuvre des produits Sto s’effectuera conformément aux réglementations en vigueur, ainsi qu'aux documents technique Sto (Fiches Techniques, DTA, AT, Cahier des charges, etc.).</w:t>
            </w:r>
          </w:p>
          <w:p w14:paraId="45F2EF3B" w14:textId="77777777" w:rsidR="0017434C" w:rsidRPr="00D7468F" w:rsidRDefault="0017434C" w:rsidP="00E85501">
            <w:pPr>
              <w:jc w:val="both"/>
              <w:rPr>
                <w:rFonts w:ascii="Sto TT" w:eastAsia="Verdana" w:hAnsi="Sto TT" w:cs="Arial"/>
                <w:sz w:val="17"/>
                <w:szCs w:val="17"/>
              </w:rPr>
            </w:pPr>
          </w:p>
          <w:p w14:paraId="13D08420"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sz w:val="17"/>
                <w:szCs w:val="17"/>
              </w:rPr>
              <w:t xml:space="preserve">Toutes réserves devront être faites en cas de désordres occasionnés au revêtement provenant d'infiltrations se produisant par les parties non traitées. </w:t>
            </w:r>
          </w:p>
          <w:p w14:paraId="4169835C" w14:textId="77777777" w:rsidR="0017434C" w:rsidRPr="00D7468F" w:rsidRDefault="0017434C" w:rsidP="00E85501">
            <w:pPr>
              <w:jc w:val="both"/>
              <w:rPr>
                <w:rFonts w:ascii="Sto TT" w:eastAsia="Verdana" w:hAnsi="Sto TT" w:cs="Arial"/>
                <w:sz w:val="17"/>
                <w:szCs w:val="17"/>
              </w:rPr>
            </w:pPr>
          </w:p>
          <w:p w14:paraId="07E1420F"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b/>
                <w:bCs/>
                <w:sz w:val="17"/>
                <w:szCs w:val="17"/>
                <w:u w:val="single"/>
              </w:rPr>
              <w:t xml:space="preserve">Cas des joints au "scotch" </w:t>
            </w:r>
            <w:r w:rsidRPr="00D7468F">
              <w:rPr>
                <w:rFonts w:ascii="Sto TT" w:eastAsia="Verdana" w:hAnsi="Sto TT" w:cs="Arial"/>
                <w:sz w:val="17"/>
                <w:szCs w:val="17"/>
              </w:rPr>
              <w:t xml:space="preserve"> </w:t>
            </w:r>
          </w:p>
          <w:p w14:paraId="67AFE08F"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sz w:val="17"/>
                <w:szCs w:val="17"/>
              </w:rPr>
              <w:t xml:space="preserve">Si un fractionnement de l’enduit de finition est nécessaire pour des raisons esthétiques (joints dits « au scotch »), le sous-enduit (ou l’enduit de ragréage) ne doit pas être laissé à nu. Il doit </w:t>
            </w:r>
            <w:proofErr w:type="gramStart"/>
            <w:r w:rsidRPr="00D7468F">
              <w:rPr>
                <w:rFonts w:ascii="Sto TT" w:eastAsia="Verdana" w:hAnsi="Sto TT" w:cs="Arial"/>
                <w:sz w:val="17"/>
                <w:szCs w:val="17"/>
              </w:rPr>
              <w:t>a</w:t>
            </w:r>
            <w:proofErr w:type="gramEnd"/>
            <w:r w:rsidRPr="00D7468F">
              <w:rPr>
                <w:rFonts w:ascii="Sto TT" w:eastAsia="Verdana" w:hAnsi="Sto TT" w:cs="Arial"/>
                <w:sz w:val="17"/>
                <w:szCs w:val="17"/>
              </w:rPr>
              <w:t xml:space="preserve"> minima être recouvert d’une peinture de protection (ex. StoColor Jumbosil ou StoColor Silco) à la teinte voulue. </w:t>
            </w:r>
          </w:p>
          <w:p w14:paraId="6146C71B" w14:textId="77777777" w:rsidR="0017434C" w:rsidRPr="00D7468F" w:rsidRDefault="0017434C" w:rsidP="00E85501">
            <w:pPr>
              <w:ind w:right="1"/>
              <w:jc w:val="both"/>
              <w:rPr>
                <w:rFonts w:ascii="Sto TT" w:hAnsi="Sto TT" w:cs="Arial"/>
                <w:sz w:val="17"/>
                <w:szCs w:val="17"/>
              </w:rPr>
            </w:pPr>
          </w:p>
          <w:p w14:paraId="73514BFE" w14:textId="77777777" w:rsidR="0017434C" w:rsidRPr="00D7468F" w:rsidRDefault="0017434C" w:rsidP="00E85501">
            <w:pPr>
              <w:ind w:right="1"/>
              <w:jc w:val="both"/>
              <w:rPr>
                <w:rFonts w:ascii="Sto TT" w:eastAsia="Courier New" w:hAnsi="Sto TT" w:cs="Arial"/>
                <w:sz w:val="17"/>
                <w:szCs w:val="17"/>
              </w:rPr>
            </w:pPr>
            <w:r w:rsidRPr="00D7468F">
              <w:rPr>
                <w:rFonts w:ascii="Sto TT" w:eastAsia="Verdana" w:hAnsi="Sto TT" w:cs="Arial"/>
                <w:b/>
                <w:bCs/>
                <w:color w:val="000000"/>
                <w:sz w:val="17"/>
                <w:szCs w:val="17"/>
                <w:u w:val="single" w:color="000000"/>
              </w:rPr>
              <w:t>Recommandations générales relatives aux travaux d'isolation thermique par l'extérieur</w:t>
            </w:r>
          </w:p>
          <w:p w14:paraId="10DD52C7" w14:textId="77777777" w:rsidR="0017434C" w:rsidRPr="00D7468F" w:rsidRDefault="0017434C" w:rsidP="00E85501">
            <w:pPr>
              <w:jc w:val="both"/>
              <w:rPr>
                <w:rFonts w:ascii="Sto TT" w:eastAsia="Verdana" w:hAnsi="Sto TT" w:cs="Arial"/>
                <w:color w:val="000000"/>
                <w:sz w:val="17"/>
                <w:szCs w:val="17"/>
              </w:rPr>
            </w:pPr>
            <w:r w:rsidRPr="00D7468F">
              <w:rPr>
                <w:rFonts w:ascii="Sto TT" w:eastAsia="Verdana" w:hAnsi="Sto TT"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15BD4761" w14:textId="77777777" w:rsidR="0017434C" w:rsidRPr="00D7468F" w:rsidRDefault="0017434C" w:rsidP="00E85501">
            <w:pPr>
              <w:jc w:val="both"/>
              <w:rPr>
                <w:rFonts w:ascii="Sto TT" w:eastAsia="Verdana" w:hAnsi="Sto TT" w:cs="Arial"/>
                <w:color w:val="000000"/>
                <w:sz w:val="17"/>
                <w:szCs w:val="17"/>
              </w:rPr>
            </w:pPr>
            <w:r w:rsidRPr="00D7468F">
              <w:rPr>
                <w:rFonts w:ascii="Sto TT" w:eastAsia="Verdana" w:hAnsi="Sto TT" w:cs="Arial"/>
                <w:color w:val="000000"/>
                <w:sz w:val="17"/>
                <w:szCs w:val="17"/>
              </w:rPr>
              <w:t>La mise en œuvre du système s’effectuera conformément à son Document Technique d’Application en vigueur.</w:t>
            </w:r>
          </w:p>
          <w:p w14:paraId="196818BA" w14:textId="77777777" w:rsidR="0017434C" w:rsidRPr="00D7468F" w:rsidRDefault="0017434C" w:rsidP="00E85501">
            <w:pPr>
              <w:jc w:val="both"/>
              <w:rPr>
                <w:rFonts w:ascii="Sto TT" w:eastAsia="Verdana" w:hAnsi="Sto TT" w:cs="Arial"/>
                <w:color w:val="000000"/>
                <w:sz w:val="17"/>
                <w:szCs w:val="17"/>
              </w:rPr>
            </w:pPr>
          </w:p>
          <w:p w14:paraId="49894BCC" w14:textId="77777777" w:rsidR="0017434C" w:rsidRPr="00D7468F" w:rsidRDefault="0017434C" w:rsidP="00E85501">
            <w:pPr>
              <w:jc w:val="both"/>
              <w:rPr>
                <w:rFonts w:ascii="Sto TT" w:eastAsia="Verdana" w:hAnsi="Sto TT" w:cs="Arial"/>
                <w:color w:val="000000"/>
                <w:sz w:val="17"/>
                <w:szCs w:val="17"/>
              </w:rPr>
            </w:pPr>
            <w:r w:rsidRPr="00D7468F">
              <w:rPr>
                <w:rFonts w:ascii="Sto TT" w:eastAsia="Verdana" w:hAnsi="Sto TT"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332D9BBD" w14:textId="77777777" w:rsidR="0017434C" w:rsidRPr="00D7468F" w:rsidRDefault="0017434C" w:rsidP="00E85501">
            <w:pPr>
              <w:jc w:val="both"/>
              <w:rPr>
                <w:rFonts w:ascii="Sto TT" w:eastAsia="Verdana" w:hAnsi="Sto TT" w:cs="Arial"/>
                <w:color w:val="000000"/>
                <w:sz w:val="17"/>
                <w:szCs w:val="17"/>
              </w:rPr>
            </w:pPr>
          </w:p>
          <w:p w14:paraId="77BC7833" w14:textId="77777777" w:rsidR="0017434C" w:rsidRPr="00D7468F" w:rsidRDefault="0017434C" w:rsidP="00E85501">
            <w:pPr>
              <w:jc w:val="both"/>
              <w:rPr>
                <w:rFonts w:ascii="Sto TT" w:eastAsia="Verdana" w:hAnsi="Sto TT" w:cs="Arial"/>
                <w:color w:val="000000"/>
                <w:sz w:val="17"/>
                <w:szCs w:val="17"/>
              </w:rPr>
            </w:pPr>
            <w:r w:rsidRPr="00D7468F">
              <w:rPr>
                <w:rFonts w:ascii="Sto TT" w:eastAsia="Verdana" w:hAnsi="Sto TT" w:cs="Arial"/>
                <w:color w:val="000000"/>
                <w:sz w:val="17"/>
                <w:szCs w:val="17"/>
              </w:rPr>
              <w:t>Vérifier le bon comportement de la paroi (flux de vapeur et de chaleur) ainsi que la présence de VMC, d'une bonne aération et prévoir si nécessaire un système de ventilation adaptée.</w:t>
            </w:r>
          </w:p>
          <w:p w14:paraId="145C34DD" w14:textId="77777777" w:rsidR="0017434C" w:rsidRPr="00D7468F" w:rsidRDefault="0017434C" w:rsidP="00E85501">
            <w:pPr>
              <w:jc w:val="both"/>
              <w:rPr>
                <w:rFonts w:ascii="Sto TT" w:eastAsia="Verdana" w:hAnsi="Sto TT" w:cs="Arial"/>
                <w:color w:val="000000"/>
                <w:sz w:val="17"/>
                <w:szCs w:val="17"/>
              </w:rPr>
            </w:pPr>
          </w:p>
          <w:p w14:paraId="3064D156" w14:textId="77777777" w:rsidR="0017434C" w:rsidRPr="00D7468F" w:rsidRDefault="0017434C" w:rsidP="00E85501">
            <w:pPr>
              <w:jc w:val="both"/>
              <w:rPr>
                <w:rFonts w:ascii="Sto TT" w:eastAsia="Verdana" w:hAnsi="Sto TT" w:cs="Arial"/>
                <w:color w:val="000000"/>
                <w:sz w:val="17"/>
                <w:szCs w:val="17"/>
              </w:rPr>
            </w:pPr>
            <w:r w:rsidRPr="00D7468F">
              <w:rPr>
                <w:rFonts w:ascii="Sto TT" w:eastAsia="Verdana" w:hAnsi="Sto TT"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26BF9BEC" w14:textId="77777777" w:rsidR="0017434C" w:rsidRPr="00D7468F" w:rsidRDefault="0017434C" w:rsidP="00E85501">
            <w:pPr>
              <w:jc w:val="both"/>
              <w:rPr>
                <w:rFonts w:ascii="Sto TT" w:eastAsia="Verdana" w:hAnsi="Sto TT" w:cs="Arial"/>
                <w:color w:val="000000"/>
                <w:sz w:val="17"/>
                <w:szCs w:val="17"/>
              </w:rPr>
            </w:pPr>
          </w:p>
          <w:p w14:paraId="1FCD71BF" w14:textId="77777777" w:rsidR="0017434C" w:rsidRPr="00D7468F" w:rsidRDefault="0017434C" w:rsidP="00E85501">
            <w:pPr>
              <w:jc w:val="both"/>
              <w:rPr>
                <w:rFonts w:ascii="Sto TT" w:eastAsia="Verdana" w:hAnsi="Sto TT" w:cs="Arial"/>
                <w:color w:val="000000"/>
                <w:sz w:val="17"/>
                <w:szCs w:val="17"/>
              </w:rPr>
            </w:pPr>
            <w:r w:rsidRPr="00D7468F">
              <w:rPr>
                <w:rFonts w:ascii="Sto TT" w:eastAsia="Verdana" w:hAnsi="Sto TT"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27916B07" w14:textId="77777777" w:rsidR="0017434C" w:rsidRPr="00D7468F" w:rsidRDefault="0017434C" w:rsidP="00E85501">
            <w:pPr>
              <w:ind w:right="1"/>
              <w:jc w:val="both"/>
              <w:rPr>
                <w:rFonts w:ascii="Sto TT" w:hAnsi="Sto TT" w:cs="Arial"/>
                <w:sz w:val="17"/>
                <w:szCs w:val="17"/>
              </w:rPr>
            </w:pPr>
          </w:p>
          <w:p w14:paraId="10C3BFB1" w14:textId="77777777" w:rsidR="0017434C" w:rsidRPr="00D7468F" w:rsidRDefault="0017434C" w:rsidP="00E85501">
            <w:pPr>
              <w:ind w:right="1"/>
              <w:jc w:val="both"/>
              <w:rPr>
                <w:rFonts w:ascii="Sto TT" w:eastAsia="Courier New" w:hAnsi="Sto TT" w:cs="Arial"/>
                <w:sz w:val="17"/>
                <w:szCs w:val="17"/>
              </w:rPr>
            </w:pPr>
            <w:r w:rsidRPr="00D7468F">
              <w:rPr>
                <w:rFonts w:ascii="Sto TT" w:eastAsia="Verdana" w:hAnsi="Sto TT" w:cs="Arial"/>
                <w:b/>
                <w:bCs/>
                <w:color w:val="000000"/>
                <w:sz w:val="17"/>
                <w:szCs w:val="17"/>
                <w:u w:val="single" w:color="000000"/>
              </w:rPr>
              <w:t>Recommandations générales de mise en œuvre</w:t>
            </w:r>
          </w:p>
          <w:p w14:paraId="409D9C1A" w14:textId="77777777" w:rsidR="0017434C" w:rsidRPr="00D7468F" w:rsidRDefault="0017434C" w:rsidP="00E85501">
            <w:pPr>
              <w:jc w:val="both"/>
              <w:rPr>
                <w:rFonts w:ascii="Sto TT" w:eastAsia="Verdana" w:hAnsi="Sto TT" w:cs="Arial"/>
                <w:color w:val="000000"/>
                <w:sz w:val="17"/>
                <w:szCs w:val="17"/>
              </w:rPr>
            </w:pPr>
            <w:r w:rsidRPr="00D7468F">
              <w:rPr>
                <w:rFonts w:ascii="Sto TT" w:eastAsia="Verdana" w:hAnsi="Sto TT" w:cs="Arial"/>
                <w:color w:val="000000"/>
                <w:sz w:val="17"/>
                <w:szCs w:val="17"/>
              </w:rPr>
              <w:t>Avant les travaux, nous vous recommandons de vous assurer du bon état de l'étanchéité horizontale, du réseau d'évacuation des eaux pluviales et des grilles de ventilation.</w:t>
            </w:r>
          </w:p>
          <w:p w14:paraId="797A7120" w14:textId="77777777" w:rsidR="0017434C" w:rsidRPr="00D7468F" w:rsidRDefault="0017434C" w:rsidP="00E85501">
            <w:pPr>
              <w:jc w:val="both"/>
              <w:rPr>
                <w:rFonts w:ascii="Sto TT" w:eastAsia="Courier New" w:hAnsi="Sto TT" w:cs="Arial"/>
                <w:sz w:val="17"/>
                <w:szCs w:val="17"/>
              </w:rPr>
            </w:pPr>
          </w:p>
          <w:p w14:paraId="6952D71A" w14:textId="77777777" w:rsidR="0017434C" w:rsidRPr="00D7468F" w:rsidRDefault="0017434C" w:rsidP="00E85501">
            <w:pPr>
              <w:jc w:val="both"/>
              <w:rPr>
                <w:rFonts w:ascii="Sto TT" w:eastAsia="Courier New" w:hAnsi="Sto TT" w:cs="Arial"/>
                <w:sz w:val="17"/>
                <w:szCs w:val="17"/>
              </w:rPr>
            </w:pPr>
            <w:r w:rsidRPr="00D7468F">
              <w:rPr>
                <w:rFonts w:ascii="Sto TT" w:eastAsia="Verdana"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2A12F1AA"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sz w:val="17"/>
                <w:szCs w:val="17"/>
              </w:rPr>
              <w:t>Dans le cas d'une isolation thermique extérieure, on veillera à ne pas juxtaposer, sans joint de fractionnement, les teintes dont la différence de coefficient d'absorption est supérieure à 0,2.</w:t>
            </w:r>
          </w:p>
          <w:p w14:paraId="33CDCBD8"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sz w:val="17"/>
                <w:szCs w:val="17"/>
              </w:rPr>
              <w:t xml:space="preserve">Dans le cas du StoVentec R-enduit la limite de coefficient d'absorption du rayonnement solaire est de 0,95.  </w:t>
            </w:r>
          </w:p>
          <w:p w14:paraId="7911E313"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b/>
                <w:bCs/>
                <w:sz w:val="17"/>
                <w:szCs w:val="17"/>
              </w:rPr>
              <w:t>Il est de la responsabilité de la Maîtrise d’œuvre de vérifier la conformité des teintes sombres à la réglementation en vigueur sur l’absorption solaire</w:t>
            </w:r>
            <w:r w:rsidRPr="00D7468F">
              <w:rPr>
                <w:rFonts w:ascii="Sto TT" w:eastAsia="Verdana" w:hAnsi="Sto TT" w:cs="Arial"/>
                <w:sz w:val="17"/>
                <w:szCs w:val="17"/>
              </w:rPr>
              <w:t>.</w:t>
            </w:r>
          </w:p>
          <w:p w14:paraId="3E41464A" w14:textId="77777777" w:rsidR="0017434C" w:rsidRPr="00D7468F" w:rsidRDefault="0017434C" w:rsidP="00E85501">
            <w:pPr>
              <w:jc w:val="both"/>
              <w:rPr>
                <w:rFonts w:ascii="Sto TT" w:eastAsia="Courier New" w:hAnsi="Sto TT" w:cs="Arial"/>
                <w:sz w:val="17"/>
                <w:szCs w:val="17"/>
              </w:rPr>
            </w:pPr>
          </w:p>
          <w:p w14:paraId="69325E6C" w14:textId="77777777" w:rsidR="0017434C" w:rsidRPr="00D7468F" w:rsidRDefault="0017434C" w:rsidP="00E85501">
            <w:pPr>
              <w:jc w:val="both"/>
              <w:rPr>
                <w:rFonts w:ascii="Sto TT" w:eastAsia="Courier New" w:hAnsi="Sto TT" w:cs="Arial"/>
                <w:sz w:val="17"/>
                <w:szCs w:val="17"/>
              </w:rPr>
            </w:pPr>
            <w:r w:rsidRPr="00D7468F">
              <w:rPr>
                <w:rFonts w:ascii="Sto TT" w:eastAsia="Verdana" w:hAnsi="Sto TT" w:cs="Arial"/>
                <w:b/>
                <w:bCs/>
                <w:sz w:val="17"/>
                <w:szCs w:val="17"/>
              </w:rPr>
              <w:t>Pour tout chantier, à partir de 2000m², pour éviter tout écart de teinte sur de grandes surfaces, en particulier dans le cas de teintes soutenues :</w:t>
            </w:r>
          </w:p>
          <w:p w14:paraId="4C5D3165" w14:textId="77777777" w:rsidR="0017434C" w:rsidRPr="00D7468F" w:rsidRDefault="0017434C" w:rsidP="00E85501">
            <w:pPr>
              <w:numPr>
                <w:ilvl w:val="0"/>
                <w:numId w:val="2"/>
              </w:numPr>
              <w:ind w:right="1"/>
              <w:jc w:val="both"/>
              <w:rPr>
                <w:rFonts w:ascii="Sto TT" w:hAnsi="Sto TT" w:cs="Arial"/>
                <w:sz w:val="17"/>
                <w:szCs w:val="17"/>
              </w:rPr>
            </w:pPr>
            <w:r w:rsidRPr="00D7468F">
              <w:rPr>
                <w:rFonts w:ascii="Sto TT" w:eastAsia="Verdana" w:hAnsi="Sto TT" w:cs="Arial"/>
                <w:b/>
                <w:bCs/>
                <w:sz w:val="17"/>
                <w:szCs w:val="17"/>
              </w:rPr>
              <w:t>Commandez un lot teinté unique dès le départ de votre chantier.</w:t>
            </w:r>
            <w:r w:rsidRPr="00D7468F">
              <w:rPr>
                <w:rFonts w:ascii="Sto TT" w:eastAsia="Verdana" w:hAnsi="Sto TT" w:cs="Arial"/>
                <w:sz w:val="17"/>
                <w:szCs w:val="17"/>
              </w:rPr>
              <w:t xml:space="preserve"> Si besoin, demandez à votre contact commercial ou logistique des livraisons étalées dans le temps selon l’avancée de votre chantier.</w:t>
            </w:r>
          </w:p>
          <w:p w14:paraId="2E3CD991" w14:textId="77777777" w:rsidR="0017434C" w:rsidRPr="00D7468F" w:rsidRDefault="0017434C" w:rsidP="00E85501">
            <w:pPr>
              <w:numPr>
                <w:ilvl w:val="0"/>
                <w:numId w:val="2"/>
              </w:numPr>
              <w:ind w:right="1"/>
              <w:jc w:val="both"/>
              <w:rPr>
                <w:rFonts w:ascii="Sto TT" w:hAnsi="Sto TT" w:cs="Arial"/>
                <w:sz w:val="17"/>
                <w:szCs w:val="17"/>
              </w:rPr>
            </w:pPr>
            <w:r w:rsidRPr="00D7468F">
              <w:rPr>
                <w:rFonts w:ascii="Sto TT" w:eastAsia="Verdana"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6F735C66" w14:textId="77777777" w:rsidR="0017434C" w:rsidRPr="00D7468F" w:rsidRDefault="0017434C" w:rsidP="00E85501">
            <w:pPr>
              <w:numPr>
                <w:ilvl w:val="0"/>
                <w:numId w:val="2"/>
              </w:numPr>
              <w:ind w:right="1"/>
              <w:jc w:val="both"/>
              <w:rPr>
                <w:rFonts w:ascii="Sto TT" w:hAnsi="Sto TT" w:cs="Arial"/>
                <w:sz w:val="17"/>
                <w:szCs w:val="17"/>
              </w:rPr>
            </w:pPr>
            <w:r w:rsidRPr="00D7468F">
              <w:rPr>
                <w:rFonts w:ascii="Sto TT" w:eastAsia="Verdana" w:hAnsi="Sto TT" w:cs="Arial"/>
                <w:sz w:val="17"/>
                <w:szCs w:val="17"/>
              </w:rPr>
              <w:t>Bâchez votre échafaudage afin d’éviter les spectres d’échafaudages, en particulier pour les façades exposées au soleil ou en lumière rasante</w:t>
            </w:r>
          </w:p>
          <w:p w14:paraId="37ACB542" w14:textId="77777777" w:rsidR="0017434C" w:rsidRPr="00D7468F" w:rsidRDefault="0017434C" w:rsidP="00E85501">
            <w:pPr>
              <w:numPr>
                <w:ilvl w:val="0"/>
                <w:numId w:val="2"/>
              </w:numPr>
              <w:ind w:right="1"/>
              <w:jc w:val="both"/>
              <w:rPr>
                <w:rFonts w:ascii="Sto TT" w:hAnsi="Sto TT" w:cs="Arial"/>
                <w:sz w:val="17"/>
                <w:szCs w:val="17"/>
              </w:rPr>
            </w:pPr>
            <w:r w:rsidRPr="00D7468F">
              <w:rPr>
                <w:rFonts w:ascii="Sto TT" w:eastAsia="Verdana" w:hAnsi="Sto TT" w:cs="Arial"/>
                <w:sz w:val="17"/>
                <w:szCs w:val="17"/>
              </w:rPr>
              <w:t>Contrôlez la météo pour éviter les applications ou le stockage de vos produits à des températures trop hautes ou trop basses</w:t>
            </w:r>
          </w:p>
          <w:p w14:paraId="77B276B8" w14:textId="77777777" w:rsidR="0017434C" w:rsidRPr="00D7468F" w:rsidRDefault="0017434C" w:rsidP="00E85501">
            <w:pPr>
              <w:numPr>
                <w:ilvl w:val="0"/>
                <w:numId w:val="2"/>
              </w:numPr>
              <w:ind w:right="1"/>
              <w:jc w:val="both"/>
              <w:rPr>
                <w:rFonts w:ascii="Sto TT" w:hAnsi="Sto TT" w:cs="Arial"/>
                <w:sz w:val="17"/>
                <w:szCs w:val="17"/>
              </w:rPr>
            </w:pPr>
            <w:r w:rsidRPr="00D7468F">
              <w:rPr>
                <w:rFonts w:ascii="Sto TT" w:eastAsia="Verdana"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14817791" w14:textId="77777777" w:rsidR="0017434C" w:rsidRPr="00D7468F" w:rsidRDefault="0017434C" w:rsidP="00E85501">
            <w:pPr>
              <w:numPr>
                <w:ilvl w:val="0"/>
                <w:numId w:val="2"/>
              </w:numPr>
              <w:ind w:right="1"/>
              <w:jc w:val="both"/>
              <w:rPr>
                <w:rFonts w:ascii="Sto TT" w:hAnsi="Sto TT" w:cs="Arial"/>
                <w:sz w:val="17"/>
                <w:szCs w:val="17"/>
              </w:rPr>
            </w:pPr>
            <w:r w:rsidRPr="00D7468F">
              <w:rPr>
                <w:rFonts w:ascii="Sto TT" w:eastAsia="Verdana"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45D4BFEE" w14:textId="77777777" w:rsidR="0017434C" w:rsidRPr="00D7468F" w:rsidRDefault="0017434C" w:rsidP="00E85501">
            <w:pPr>
              <w:ind w:right="1"/>
              <w:jc w:val="both"/>
              <w:rPr>
                <w:rFonts w:ascii="Sto TT" w:eastAsia="Courier New" w:hAnsi="Sto TT" w:cs="Arial"/>
                <w:sz w:val="17"/>
                <w:szCs w:val="17"/>
              </w:rPr>
            </w:pPr>
          </w:p>
          <w:p w14:paraId="0DD3E787" w14:textId="77777777" w:rsidR="0017434C" w:rsidRPr="00D7468F" w:rsidRDefault="0017434C" w:rsidP="00E85501">
            <w:pPr>
              <w:jc w:val="both"/>
              <w:rPr>
                <w:rFonts w:ascii="Sto TT" w:eastAsia="Courier New" w:hAnsi="Sto TT" w:cs="Arial"/>
                <w:sz w:val="17"/>
                <w:szCs w:val="17"/>
              </w:rPr>
            </w:pPr>
            <w:r w:rsidRPr="00D7468F">
              <w:rPr>
                <w:rFonts w:ascii="Sto TT" w:eastAsia="Verdana" w:hAnsi="Sto TT" w:cs="Arial"/>
                <w:sz w:val="17"/>
                <w:szCs w:val="17"/>
              </w:rPr>
              <w:t>Pour assurer une parfaite uniformisation en teinte de l’ensemble, nous vous conseillons d'utiliser les mêmes numéros de lots sur une même face.</w:t>
            </w:r>
          </w:p>
          <w:p w14:paraId="1565E642" w14:textId="77777777" w:rsidR="0017434C" w:rsidRPr="00D7468F" w:rsidRDefault="0017434C" w:rsidP="00E85501">
            <w:pPr>
              <w:jc w:val="both"/>
              <w:rPr>
                <w:rFonts w:ascii="Sto TT" w:eastAsia="Courier New" w:hAnsi="Sto TT" w:cs="Arial"/>
                <w:sz w:val="17"/>
                <w:szCs w:val="17"/>
              </w:rPr>
            </w:pPr>
          </w:p>
          <w:p w14:paraId="013F3F02" w14:textId="77777777" w:rsidR="0017434C" w:rsidRPr="00D7468F" w:rsidRDefault="0017434C" w:rsidP="00E85501">
            <w:pPr>
              <w:jc w:val="both"/>
              <w:rPr>
                <w:rFonts w:ascii="Sto TT" w:eastAsia="Courier New" w:hAnsi="Sto TT" w:cs="Arial"/>
                <w:sz w:val="17"/>
                <w:szCs w:val="17"/>
              </w:rPr>
            </w:pPr>
            <w:r w:rsidRPr="00D7468F">
              <w:rPr>
                <w:rFonts w:ascii="Sto TT" w:eastAsia="Verdana"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7260D8B6" w14:textId="77777777" w:rsidR="0017434C" w:rsidRPr="00D7468F" w:rsidRDefault="0017434C" w:rsidP="00E85501">
            <w:pPr>
              <w:jc w:val="both"/>
              <w:rPr>
                <w:rFonts w:ascii="Sto TT" w:eastAsia="Courier New" w:hAnsi="Sto TT" w:cs="Arial"/>
                <w:sz w:val="17"/>
                <w:szCs w:val="17"/>
              </w:rPr>
            </w:pPr>
          </w:p>
          <w:p w14:paraId="0866A5AC" w14:textId="77777777" w:rsidR="0017434C" w:rsidRPr="00D7468F" w:rsidRDefault="0017434C" w:rsidP="00E85501">
            <w:pPr>
              <w:jc w:val="both"/>
              <w:rPr>
                <w:rFonts w:ascii="Sto TT" w:eastAsia="Courier New" w:hAnsi="Sto TT" w:cs="Arial"/>
                <w:sz w:val="17"/>
                <w:szCs w:val="17"/>
              </w:rPr>
            </w:pPr>
            <w:r w:rsidRPr="00D7468F">
              <w:rPr>
                <w:rFonts w:ascii="Sto TT" w:eastAsia="Verdana" w:hAnsi="Sto TT" w:cs="Arial"/>
                <w:sz w:val="17"/>
                <w:szCs w:val="17"/>
              </w:rPr>
              <w:t xml:space="preserve">Dans le cadre de l'entretien et de la protection contre les micro-organismes des parties non ravalées (murs, murets, toitures, etc.), nous conseillons l'application de </w:t>
            </w:r>
            <w:r w:rsidRPr="00D7468F">
              <w:rPr>
                <w:rFonts w:ascii="Sto TT" w:eastAsia="Verdana" w:hAnsi="Sto TT" w:cs="Arial"/>
                <w:b/>
                <w:bCs/>
                <w:sz w:val="17"/>
                <w:szCs w:val="17"/>
              </w:rPr>
              <w:t>Sto-Décontaminant Concentré</w:t>
            </w:r>
            <w:r w:rsidRPr="00D7468F">
              <w:rPr>
                <w:rFonts w:ascii="Sto TT" w:eastAsia="Verdana" w:hAnsi="Sto TT" w:cs="Arial"/>
                <w:sz w:val="17"/>
                <w:szCs w:val="17"/>
              </w:rPr>
              <w:t>.</w:t>
            </w:r>
          </w:p>
          <w:p w14:paraId="64EE778C" w14:textId="77777777" w:rsidR="0017434C" w:rsidRPr="00D7468F" w:rsidRDefault="0017434C" w:rsidP="00E85501">
            <w:pPr>
              <w:jc w:val="both"/>
              <w:rPr>
                <w:rFonts w:ascii="Sto TT" w:eastAsia="Verdana" w:hAnsi="Sto TT" w:cs="Arial"/>
                <w:sz w:val="17"/>
                <w:szCs w:val="17"/>
              </w:rPr>
            </w:pPr>
          </w:p>
          <w:p w14:paraId="2B6D1B50"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D7468F">
              <w:rPr>
                <w:rFonts w:ascii="Sto TT" w:eastAsia="Verdana"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D7468F">
              <w:rPr>
                <w:rFonts w:ascii="Sto TT" w:eastAsia="Verdana" w:hAnsi="Sto TT" w:cs="Arial"/>
                <w:sz w:val="17"/>
                <w:szCs w:val="17"/>
              </w:rPr>
              <w:t xml:space="preserve">. </w:t>
            </w:r>
            <w:r w:rsidRPr="00D7468F">
              <w:rPr>
                <w:rFonts w:ascii="Sto TT" w:eastAsia="Verdana" w:hAnsi="Sto TT" w:cs="Arial"/>
                <w:sz w:val="17"/>
                <w:szCs w:val="17"/>
                <w:u w:val="single"/>
              </w:rPr>
              <w:t>Il est fortement recommandé de proposer systématiquement un contrat d’entretien, par exemple nettoyage des façades tous les 5 ans minimum.</w:t>
            </w:r>
            <w:r w:rsidRPr="00D7468F">
              <w:rPr>
                <w:rFonts w:ascii="Sto TT" w:eastAsia="Verdana" w:hAnsi="Sto TT" w:cs="Arial"/>
                <w:sz w:val="17"/>
                <w:szCs w:val="17"/>
              </w:rPr>
              <w:t xml:space="preserve"> Le CPT 3035 et les DTU en vigueur rappellent que l’entretien régulier des façades relève de la responsabilité de la Maîtrise d’Ouvrage.</w:t>
            </w:r>
          </w:p>
          <w:p w14:paraId="13BDA3A8" w14:textId="77777777" w:rsidR="0017434C" w:rsidRPr="00D7468F" w:rsidRDefault="0017434C" w:rsidP="00E85501">
            <w:pPr>
              <w:jc w:val="both"/>
              <w:rPr>
                <w:rFonts w:ascii="Sto TT" w:eastAsia="Courier New" w:hAnsi="Sto TT" w:cs="Arial"/>
                <w:sz w:val="17"/>
                <w:szCs w:val="17"/>
              </w:rPr>
            </w:pPr>
          </w:p>
          <w:p w14:paraId="6D3C2478" w14:textId="77777777" w:rsidR="0017434C" w:rsidRPr="00D7468F" w:rsidRDefault="0017434C" w:rsidP="00E85501">
            <w:pPr>
              <w:jc w:val="both"/>
              <w:rPr>
                <w:rFonts w:ascii="Sto TT" w:eastAsia="Courier New" w:hAnsi="Sto TT" w:cs="Arial"/>
                <w:sz w:val="17"/>
                <w:szCs w:val="17"/>
              </w:rPr>
            </w:pPr>
            <w:r w:rsidRPr="00D7468F">
              <w:rPr>
                <w:rFonts w:ascii="Sto TT" w:eastAsia="Verdana" w:hAnsi="Sto TT" w:cs="Arial"/>
                <w:b/>
                <w:bCs/>
                <w:sz w:val="17"/>
                <w:szCs w:val="17"/>
                <w:u w:val="single"/>
              </w:rPr>
              <w:t>Travaux durant les périodes hivernales - IMPORTANT</w:t>
            </w:r>
          </w:p>
          <w:p w14:paraId="374FF187"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sz w:val="17"/>
                <w:szCs w:val="17"/>
              </w:rPr>
              <w:t>Pensez à nos produits à séchage rapide - GAMME QS - pour les travaux extérieurs en hiver.</w:t>
            </w:r>
          </w:p>
          <w:p w14:paraId="10F18B1B"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sz w:val="17"/>
                <w:szCs w:val="17"/>
              </w:rPr>
              <w:t>Consultez-nous !</w:t>
            </w:r>
          </w:p>
          <w:p w14:paraId="1D725417" w14:textId="77777777" w:rsidR="0017434C" w:rsidRPr="00D7468F" w:rsidRDefault="0017434C" w:rsidP="00E85501">
            <w:pPr>
              <w:jc w:val="both"/>
              <w:rPr>
                <w:rFonts w:ascii="Sto TT" w:eastAsia="Courier New" w:hAnsi="Sto TT" w:cs="Arial"/>
                <w:sz w:val="17"/>
                <w:szCs w:val="17"/>
              </w:rPr>
            </w:pPr>
          </w:p>
          <w:p w14:paraId="603E5CBF" w14:textId="77777777" w:rsidR="00B11534" w:rsidRPr="00D7468F" w:rsidRDefault="00B11534" w:rsidP="00E85501">
            <w:pPr>
              <w:ind w:right="1"/>
              <w:jc w:val="both"/>
              <w:rPr>
                <w:rFonts w:ascii="Sto TT" w:eastAsia="Courier New" w:hAnsi="Sto TT" w:cs="Arial"/>
                <w:sz w:val="17"/>
                <w:szCs w:val="17"/>
              </w:rPr>
            </w:pPr>
            <w:r w:rsidRPr="00D7468F">
              <w:rPr>
                <w:rFonts w:ascii="Sto TT" w:eastAsia="Verdana" w:hAnsi="Sto TT" w:cs="Arial"/>
                <w:b/>
                <w:bCs/>
                <w:sz w:val="17"/>
                <w:szCs w:val="17"/>
                <w:u w:val="single"/>
              </w:rPr>
              <w:t>Sismique</w:t>
            </w:r>
            <w:r w:rsidRPr="00D7468F">
              <w:rPr>
                <w:rFonts w:ascii="Sto TT" w:eastAsia="Verdana" w:hAnsi="Sto TT" w:cs="Arial"/>
                <w:sz w:val="17"/>
                <w:szCs w:val="17"/>
              </w:rPr>
              <w:t xml:space="preserve">   </w:t>
            </w:r>
          </w:p>
          <w:p w14:paraId="5378F4A9" w14:textId="77777777" w:rsidR="00B11534" w:rsidRPr="00D7468F" w:rsidRDefault="00B11534" w:rsidP="00E85501">
            <w:pPr>
              <w:jc w:val="both"/>
              <w:rPr>
                <w:rFonts w:ascii="Sto TT" w:eastAsia="Verdana" w:hAnsi="Sto TT" w:cs="Arial"/>
                <w:sz w:val="17"/>
                <w:szCs w:val="17"/>
              </w:rPr>
            </w:pPr>
          </w:p>
          <w:p w14:paraId="624EE490" w14:textId="77777777" w:rsidR="00B11534" w:rsidRPr="00D7468F" w:rsidRDefault="00B11534" w:rsidP="00E85501">
            <w:pPr>
              <w:jc w:val="both"/>
              <w:rPr>
                <w:rFonts w:ascii="Sto TT" w:eastAsia="Verdana" w:hAnsi="Sto TT" w:cs="Arial"/>
                <w:sz w:val="17"/>
                <w:szCs w:val="17"/>
              </w:rPr>
            </w:pPr>
            <w:r w:rsidRPr="00D7468F">
              <w:rPr>
                <w:rFonts w:ascii="Sto TT" w:eastAsia="Verdana" w:hAnsi="Sto TT" w:cs="Arial"/>
                <w:sz w:val="17"/>
                <w:szCs w:val="17"/>
              </w:rPr>
              <w:t xml:space="preserve">     - En rénovation, si le bâtiment existant n'a aucune performance parasismique déclarée et s'il ne fait pas l'objet d'une rénovation lourde au sens de l'Arrêté du 22 Octobre 2010 avec modification de la SHON entraînant une remise en conformité sismique obligatoire, la pose du système d'ITE est possible sans restriction de masse surfacique, en tant qu'élément non structurel (cf. Guide ENS 2014 sur les Eléments Non Structuraux "</w:t>
            </w:r>
            <w:r w:rsidRPr="00D7468F">
              <w:rPr>
                <w:rFonts w:ascii="Sto TT" w:eastAsia="Verdana" w:hAnsi="Sto TT" w:cs="Arial"/>
                <w:i/>
                <w:iCs/>
                <w:sz w:val="17"/>
                <w:szCs w:val="17"/>
              </w:rPr>
              <w:t>DIMENSIONNEMENT PARASISMIQUE DES ÉLÉMENTS NON STRUCTURAUX DU CADRE BÂTI</w:t>
            </w:r>
            <w:r w:rsidRPr="00D7468F">
              <w:rPr>
                <w:rFonts w:ascii="Sto TT" w:eastAsia="Verdana" w:hAnsi="Sto TT" w:cs="Arial"/>
                <w:sz w:val="17"/>
                <w:szCs w:val="17"/>
              </w:rPr>
              <w:t xml:space="preserve">" du Ministère de l'Ecologie, du Développement Durable et de l'Energie). </w:t>
            </w:r>
            <w:r w:rsidRPr="00D7468F">
              <w:rPr>
                <w:rFonts w:ascii="Sto TT" w:eastAsia="Verdana" w:hAnsi="Sto TT" w:cs="Arial"/>
                <w:b/>
                <w:bCs/>
                <w:sz w:val="17"/>
                <w:szCs w:val="17"/>
              </w:rPr>
              <w:t>Cette pose devra dans tous les cas être validée par les autorités compétentes en charge du chantier.</w:t>
            </w:r>
          </w:p>
          <w:p w14:paraId="07A35B1B" w14:textId="77777777" w:rsidR="00B11534" w:rsidRPr="00D7468F" w:rsidRDefault="00B11534" w:rsidP="00E85501">
            <w:pPr>
              <w:jc w:val="both"/>
              <w:rPr>
                <w:rFonts w:ascii="Sto TT" w:eastAsia="Verdana" w:hAnsi="Sto TT" w:cs="Arial"/>
                <w:sz w:val="17"/>
                <w:szCs w:val="17"/>
              </w:rPr>
            </w:pPr>
            <w:r w:rsidRPr="00D7468F">
              <w:rPr>
                <w:rFonts w:ascii="Sto TT" w:eastAsia="Verdana" w:hAnsi="Sto TT" w:cs="Arial"/>
                <w:sz w:val="17"/>
                <w:szCs w:val="17"/>
              </w:rPr>
              <w:t xml:space="preserve">     - Dans tous les autres cas de rénovation (bâtiment existant avec justification de performance parasismique ou rénovation lourde), la pose du système est interdite dans les zones foncées du tableau ci-dessous (source Guide ENS 2014).</w:t>
            </w:r>
          </w:p>
          <w:p w14:paraId="20EAD8C7" w14:textId="77777777" w:rsidR="00B11534" w:rsidRPr="00D7468F" w:rsidRDefault="00B11534" w:rsidP="00B11534">
            <w:pPr>
              <w:jc w:val="center"/>
              <w:rPr>
                <w:rFonts w:ascii="Sto TT" w:eastAsia="Verdana" w:hAnsi="Sto TT" w:cs="Arial"/>
                <w:sz w:val="17"/>
                <w:szCs w:val="17"/>
              </w:rPr>
            </w:pPr>
            <w:r w:rsidRPr="00D7468F">
              <w:rPr>
                <w:rFonts w:ascii="Sto TT" w:eastAsia="Verdana" w:hAnsi="Sto TT" w:cs="Arial"/>
                <w:noProof/>
                <w:sz w:val="17"/>
                <w:szCs w:val="17"/>
              </w:rPr>
              <w:drawing>
                <wp:inline distT="0" distB="0" distL="0" distR="0" wp14:anchorId="5E9EBED3" wp14:editId="0B0B8B62">
                  <wp:extent cx="4259580" cy="1489443"/>
                  <wp:effectExtent l="0" t="0" r="7620" b="0"/>
                  <wp:docPr id="100075" name="Imag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38"/>
                          <a:stretch>
                            <a:fillRect/>
                          </a:stretch>
                        </pic:blipFill>
                        <pic:spPr>
                          <a:xfrm>
                            <a:off x="0" y="0"/>
                            <a:ext cx="4319809" cy="1510503"/>
                          </a:xfrm>
                          <a:prstGeom prst="rect">
                            <a:avLst/>
                          </a:prstGeom>
                        </pic:spPr>
                      </pic:pic>
                    </a:graphicData>
                  </a:graphic>
                </wp:inline>
              </w:drawing>
            </w:r>
          </w:p>
          <w:p w14:paraId="6C8B0615" w14:textId="77777777" w:rsidR="00B11534" w:rsidRPr="00D7468F" w:rsidRDefault="00B11534" w:rsidP="00B11534">
            <w:pPr>
              <w:rPr>
                <w:rFonts w:ascii="Sto TT" w:eastAsia="Verdana" w:hAnsi="Sto TT" w:cs="Arial"/>
                <w:sz w:val="17"/>
                <w:szCs w:val="17"/>
              </w:rPr>
            </w:pPr>
            <w:r w:rsidRPr="00D7468F">
              <w:rPr>
                <w:rFonts w:ascii="Sto TT" w:eastAsia="Verdana" w:hAnsi="Sto TT" w:cs="Arial"/>
                <w:sz w:val="17"/>
                <w:szCs w:val="17"/>
              </w:rPr>
              <w:t xml:space="preserve"> </w:t>
            </w:r>
          </w:p>
          <w:p w14:paraId="2C7551E2" w14:textId="77777777" w:rsidR="00B11534" w:rsidRPr="00D7468F" w:rsidRDefault="00B11534" w:rsidP="00E85501">
            <w:pPr>
              <w:jc w:val="both"/>
              <w:rPr>
                <w:rFonts w:ascii="Sto TT" w:eastAsia="Verdana" w:hAnsi="Sto TT" w:cs="Arial"/>
                <w:sz w:val="17"/>
                <w:szCs w:val="17"/>
              </w:rPr>
            </w:pPr>
            <w:r w:rsidRPr="00D7468F">
              <w:rPr>
                <w:rFonts w:ascii="Sto TT" w:eastAsia="Verdana" w:hAnsi="Sto TT" w:cs="Arial"/>
                <w:sz w:val="17"/>
                <w:szCs w:val="17"/>
              </w:rPr>
              <w:t xml:space="preserve"> - Pour les bâtiments neufs, la pose du système est interdite dans les zones foncées du tableau ci-dessous (source Guide ENS 2014).</w:t>
            </w:r>
          </w:p>
          <w:p w14:paraId="2BD3277D" w14:textId="77777777" w:rsidR="00B11534" w:rsidRDefault="00B11534" w:rsidP="00B11534">
            <w:pPr>
              <w:ind w:right="1"/>
              <w:jc w:val="center"/>
              <w:rPr>
                <w:rFonts w:ascii="Sto TT" w:eastAsia="Verdana" w:hAnsi="Sto TT" w:cs="Arial"/>
                <w:sz w:val="17"/>
                <w:szCs w:val="17"/>
              </w:rPr>
            </w:pPr>
            <w:r w:rsidRPr="00D7468F">
              <w:rPr>
                <w:rFonts w:ascii="Sto TT" w:eastAsia="Verdana" w:hAnsi="Sto TT" w:cs="Arial"/>
                <w:sz w:val="17"/>
                <w:szCs w:val="17"/>
              </w:rPr>
              <w:br/>
            </w:r>
            <w:r w:rsidRPr="00D7468F">
              <w:rPr>
                <w:rFonts w:ascii="Sto TT" w:hAnsi="Sto TT" w:cs="Arial"/>
                <w:noProof/>
                <w:sz w:val="17"/>
                <w:szCs w:val="17"/>
              </w:rPr>
              <w:drawing>
                <wp:inline distT="0" distB="0" distL="0" distR="0" wp14:anchorId="54EEE333" wp14:editId="6B8F08FF">
                  <wp:extent cx="4290060" cy="1338844"/>
                  <wp:effectExtent l="0" t="0" r="0" b="0"/>
                  <wp:docPr id="100077" name="Imag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39"/>
                          <a:stretch>
                            <a:fillRect/>
                          </a:stretch>
                        </pic:blipFill>
                        <pic:spPr>
                          <a:xfrm>
                            <a:off x="0" y="0"/>
                            <a:ext cx="4309758" cy="1344991"/>
                          </a:xfrm>
                          <a:prstGeom prst="rect">
                            <a:avLst/>
                          </a:prstGeom>
                        </pic:spPr>
                      </pic:pic>
                    </a:graphicData>
                  </a:graphic>
                </wp:inline>
              </w:drawing>
            </w:r>
            <w:r w:rsidRPr="00D7468F">
              <w:rPr>
                <w:rFonts w:ascii="Sto TT" w:hAnsi="Sto TT" w:cs="Arial"/>
                <w:sz w:val="17"/>
                <w:szCs w:val="17"/>
              </w:rPr>
              <w:br/>
            </w:r>
            <w:r w:rsidRPr="00D7468F">
              <w:rPr>
                <w:rFonts w:ascii="Sto TT" w:eastAsia="Segoe UI" w:hAnsi="Sto TT" w:cs="Arial"/>
                <w:sz w:val="17"/>
                <w:szCs w:val="17"/>
              </w:rPr>
              <w:t> </w:t>
            </w:r>
            <w:r w:rsidRPr="00D7468F">
              <w:rPr>
                <w:rFonts w:ascii="Sto TT" w:eastAsia="Segoe UI" w:hAnsi="Sto TT" w:cs="Arial"/>
                <w:sz w:val="17"/>
                <w:szCs w:val="17"/>
              </w:rPr>
              <w:br/>
            </w:r>
          </w:p>
          <w:p w14:paraId="1B303138" w14:textId="77777777" w:rsidR="00AF2442" w:rsidRDefault="00AF2442" w:rsidP="00B11534">
            <w:pPr>
              <w:ind w:right="1"/>
              <w:jc w:val="center"/>
              <w:rPr>
                <w:rFonts w:ascii="Sto TT" w:eastAsia="Verdana" w:hAnsi="Sto TT" w:cs="Arial"/>
                <w:sz w:val="17"/>
                <w:szCs w:val="17"/>
              </w:rPr>
            </w:pPr>
          </w:p>
          <w:p w14:paraId="10F24A91" w14:textId="77777777" w:rsidR="00AF2442" w:rsidRPr="00D7468F" w:rsidRDefault="00AF2442" w:rsidP="00B11534">
            <w:pPr>
              <w:ind w:right="1"/>
              <w:jc w:val="center"/>
              <w:rPr>
                <w:rFonts w:ascii="Sto TT" w:eastAsia="Verdana" w:hAnsi="Sto TT" w:cs="Arial"/>
                <w:sz w:val="17"/>
                <w:szCs w:val="17"/>
              </w:rPr>
            </w:pPr>
          </w:p>
          <w:p w14:paraId="4610C28F" w14:textId="77777777" w:rsidR="0017434C" w:rsidRPr="00D7468F" w:rsidRDefault="0017434C" w:rsidP="00E85501">
            <w:pPr>
              <w:ind w:right="1"/>
              <w:jc w:val="both"/>
              <w:rPr>
                <w:rFonts w:ascii="Sto TT" w:eastAsia="Courier New" w:hAnsi="Sto TT" w:cs="Arial"/>
                <w:sz w:val="17"/>
                <w:szCs w:val="17"/>
              </w:rPr>
            </w:pPr>
            <w:r w:rsidRPr="00D7468F">
              <w:rPr>
                <w:rFonts w:ascii="Sto TT" w:eastAsia="Verdana" w:hAnsi="Sto TT" w:cs="Arial"/>
                <w:b/>
                <w:bCs/>
                <w:sz w:val="17"/>
                <w:szCs w:val="17"/>
                <w:u w:val="single"/>
              </w:rPr>
              <w:t>Réglementation Incendie</w:t>
            </w:r>
          </w:p>
          <w:p w14:paraId="0C04B760"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b/>
                <w:bCs/>
                <w:sz w:val="17"/>
                <w:szCs w:val="17"/>
              </w:rPr>
              <w:t xml:space="preserve">L'entreprise qui réalise les travaux </w:t>
            </w:r>
            <w:proofErr w:type="gramStart"/>
            <w:r w:rsidRPr="00D7468F">
              <w:rPr>
                <w:rFonts w:ascii="Sto TT" w:eastAsia="Verdana" w:hAnsi="Sto TT" w:cs="Arial"/>
                <w:b/>
                <w:bCs/>
                <w:sz w:val="17"/>
                <w:szCs w:val="17"/>
              </w:rPr>
              <w:t>a</w:t>
            </w:r>
            <w:proofErr w:type="gramEnd"/>
            <w:r w:rsidRPr="00D7468F">
              <w:rPr>
                <w:rFonts w:ascii="Sto TT" w:eastAsia="Verdana" w:hAnsi="Sto TT" w:cs="Arial"/>
                <w:b/>
                <w:bCs/>
                <w:sz w:val="17"/>
                <w:szCs w:val="17"/>
              </w:rPr>
              <w:t xml:space="preserve">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2BFBA608"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701D57AC" w14:textId="77777777" w:rsidR="0017434C" w:rsidRPr="00D7468F" w:rsidRDefault="0017434C" w:rsidP="00E85501">
            <w:pPr>
              <w:jc w:val="both"/>
              <w:rPr>
                <w:rFonts w:ascii="Sto TT" w:eastAsia="Verdana" w:hAnsi="Sto TT" w:cs="Arial"/>
                <w:sz w:val="17"/>
                <w:szCs w:val="17"/>
              </w:rPr>
            </w:pPr>
          </w:p>
          <w:p w14:paraId="30B9485D" w14:textId="77777777" w:rsidR="0017434C" w:rsidRPr="00D7468F" w:rsidRDefault="0017434C" w:rsidP="00E85501">
            <w:pPr>
              <w:jc w:val="both"/>
              <w:rPr>
                <w:rFonts w:ascii="Sto TT" w:eastAsia="Verdana" w:hAnsi="Sto TT" w:cs="Arial"/>
                <w:sz w:val="17"/>
                <w:szCs w:val="17"/>
              </w:rPr>
            </w:pPr>
            <w:r w:rsidRPr="00D7468F">
              <w:rPr>
                <w:rFonts w:ascii="Sto TT" w:eastAsia="Verdana" w:hAnsi="Sto TT" w:cs="Arial"/>
                <w:b/>
                <w:bCs/>
                <w:sz w:val="17"/>
                <w:szCs w:val="17"/>
              </w:rPr>
              <w:t>Actualité IMH et arrêté de 1986 :</w:t>
            </w:r>
          </w:p>
          <w:p w14:paraId="4F19DA65" w14:textId="77777777" w:rsidR="0017434C" w:rsidRPr="00D7468F" w:rsidRDefault="0017434C" w:rsidP="00E85501">
            <w:pPr>
              <w:jc w:val="both"/>
              <w:rPr>
                <w:rFonts w:ascii="Sto TT" w:eastAsia="Verdana" w:hAnsi="Sto TT" w:cs="Arial"/>
                <w:b/>
                <w:bCs/>
                <w:sz w:val="17"/>
                <w:szCs w:val="17"/>
              </w:rPr>
            </w:pPr>
            <w:r w:rsidRPr="00D7468F">
              <w:rPr>
                <w:rFonts w:ascii="Sto TT" w:eastAsia="Verdana" w:hAnsi="Sto TT" w:cs="Arial"/>
                <w:b/>
                <w:bCs/>
                <w:sz w:val="17"/>
                <w:szCs w:val="17"/>
              </w:rPr>
              <w:t>Un décret n° 2019-461 du 16 mai 2019 et un arrêté du 7 août 2019* décrivent la réglementation relative aux IMH (immeubles de moyenne hauteur).</w:t>
            </w:r>
          </w:p>
          <w:p w14:paraId="2DDC40E4" w14:textId="77777777" w:rsidR="0017434C" w:rsidRPr="00D7468F" w:rsidRDefault="0017434C" w:rsidP="00E85501">
            <w:pPr>
              <w:jc w:val="both"/>
              <w:rPr>
                <w:rFonts w:ascii="Sto TT" w:eastAsia="Verdana" w:hAnsi="Sto TT" w:cs="Arial"/>
                <w:b/>
                <w:bCs/>
                <w:sz w:val="17"/>
                <w:szCs w:val="17"/>
              </w:rPr>
            </w:pPr>
            <w:r w:rsidRPr="00D7468F">
              <w:rPr>
                <w:rFonts w:ascii="Sto TT" w:eastAsia="Verdana" w:hAnsi="Sto TT" w:cs="Arial"/>
                <w:b/>
                <w:bCs/>
                <w:sz w:val="17"/>
                <w:szCs w:val="17"/>
              </w:rPr>
              <w:t>Un deuxième arrêté du 7 août 2019** modifie l'arrêté du 31 janvier 1986 relatif à la protection contre l'incendie des bâtiments d'habitation.</w:t>
            </w:r>
          </w:p>
          <w:p w14:paraId="75B22964" w14:textId="77777777" w:rsidR="0017434C" w:rsidRPr="00D7468F" w:rsidRDefault="0017434C" w:rsidP="00E85501">
            <w:pPr>
              <w:jc w:val="both"/>
              <w:rPr>
                <w:rFonts w:ascii="Sto TT" w:eastAsia="Verdana" w:hAnsi="Sto TT" w:cs="Arial"/>
                <w:b/>
                <w:bCs/>
                <w:sz w:val="17"/>
                <w:szCs w:val="17"/>
              </w:rPr>
            </w:pPr>
            <w:r w:rsidRPr="00D7468F">
              <w:rPr>
                <w:rFonts w:ascii="Sto TT" w:eastAsia="Verdana" w:hAnsi="Sto TT"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EEAD4DE" w14:textId="77777777" w:rsidR="0017434C" w:rsidRPr="00D7468F" w:rsidRDefault="0017434C" w:rsidP="00E85501">
            <w:pPr>
              <w:jc w:val="both"/>
              <w:rPr>
                <w:rFonts w:ascii="Sto TT" w:eastAsia="Verdana" w:hAnsi="Sto TT" w:cs="Arial"/>
                <w:b/>
                <w:bCs/>
                <w:sz w:val="17"/>
                <w:szCs w:val="17"/>
              </w:rPr>
            </w:pPr>
          </w:p>
          <w:p w14:paraId="21F52616" w14:textId="77777777" w:rsidR="0017434C" w:rsidRPr="00D7468F" w:rsidRDefault="0017434C" w:rsidP="00E85501">
            <w:pPr>
              <w:jc w:val="both"/>
              <w:rPr>
                <w:rFonts w:ascii="Sto TT" w:eastAsia="Verdana" w:hAnsi="Sto TT" w:cs="Arial"/>
                <w:b/>
                <w:bCs/>
                <w:sz w:val="17"/>
                <w:szCs w:val="17"/>
              </w:rPr>
            </w:pPr>
            <w:r w:rsidRPr="00D7468F">
              <w:rPr>
                <w:rFonts w:ascii="Sto TT" w:eastAsia="Verdana"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54C2E0E0" w14:textId="77777777" w:rsidR="0017434C" w:rsidRPr="00D7468F" w:rsidRDefault="0017434C" w:rsidP="00E85501">
            <w:pPr>
              <w:jc w:val="both"/>
              <w:rPr>
                <w:rFonts w:ascii="Sto TT" w:eastAsia="Verdana" w:hAnsi="Sto TT" w:cs="Arial"/>
                <w:b/>
                <w:bCs/>
                <w:sz w:val="17"/>
                <w:szCs w:val="17"/>
              </w:rPr>
            </w:pPr>
          </w:p>
          <w:p w14:paraId="5339C4C5" w14:textId="77777777" w:rsidR="0017434C" w:rsidRPr="00D7468F" w:rsidRDefault="0017434C" w:rsidP="00E85501">
            <w:pPr>
              <w:jc w:val="both"/>
              <w:rPr>
                <w:rFonts w:ascii="Sto TT" w:eastAsia="Verdana" w:hAnsi="Sto TT" w:cs="Arial"/>
                <w:b/>
                <w:bCs/>
                <w:sz w:val="17"/>
                <w:szCs w:val="17"/>
              </w:rPr>
            </w:pPr>
            <w:r w:rsidRPr="00D7468F">
              <w:rPr>
                <w:rFonts w:ascii="Sto TT" w:eastAsia="Verdana" w:hAnsi="Sto TT" w:cs="Arial"/>
                <w:b/>
                <w:bCs/>
                <w:sz w:val="17"/>
                <w:szCs w:val="17"/>
              </w:rPr>
              <w:t>*Arrêté du 7 août 2019 relatif aux travaux de modification des immeubles de moyenne hauteur et précisant les solutions constructives acceptables pour les rénovations de façade.</w:t>
            </w:r>
          </w:p>
          <w:p w14:paraId="6A3E99C6" w14:textId="77777777" w:rsidR="0017434C" w:rsidRPr="00D7468F" w:rsidRDefault="0017434C" w:rsidP="00E85501">
            <w:pPr>
              <w:jc w:val="both"/>
              <w:rPr>
                <w:rFonts w:ascii="Sto TT" w:eastAsia="Verdana" w:hAnsi="Sto TT" w:cs="Arial"/>
                <w:b/>
                <w:bCs/>
                <w:sz w:val="17"/>
                <w:szCs w:val="17"/>
              </w:rPr>
            </w:pPr>
            <w:r w:rsidRPr="00D7468F">
              <w:rPr>
                <w:rFonts w:ascii="Sto TT" w:eastAsia="Verdana" w:hAnsi="Sto TT" w:cs="Arial"/>
                <w:b/>
                <w:bCs/>
                <w:sz w:val="17"/>
                <w:szCs w:val="17"/>
              </w:rPr>
              <w:t>** Arrêté du 7 août 2019 modifiant l’arrêté du 31 janvier 1986 relatif à la protection contre l’incendie des bâtiments d’habitation.</w:t>
            </w:r>
          </w:p>
          <w:p w14:paraId="7E9E2375" w14:textId="77777777" w:rsidR="0017434C" w:rsidRPr="00D7468F" w:rsidRDefault="0017434C" w:rsidP="00E80E5E">
            <w:pPr>
              <w:rPr>
                <w:rFonts w:ascii="Sto TT" w:eastAsia="Verdana" w:hAnsi="Sto TT" w:cs="Arial"/>
                <w:b/>
                <w:bCs/>
                <w:sz w:val="17"/>
                <w:szCs w:val="17"/>
              </w:rPr>
            </w:pPr>
          </w:p>
          <w:p w14:paraId="13C33A3D" w14:textId="77777777" w:rsidR="0017434C" w:rsidRPr="00D7468F" w:rsidRDefault="0017434C" w:rsidP="00E80E5E">
            <w:pPr>
              <w:rPr>
                <w:rFonts w:ascii="Sto TT" w:hAnsi="Sto TT" w:cs="Arial"/>
                <w:sz w:val="17"/>
                <w:szCs w:val="17"/>
              </w:rPr>
            </w:pPr>
            <w:r w:rsidRPr="00D7468F">
              <w:rPr>
                <w:rFonts w:ascii="Sto TT" w:hAnsi="Sto TT" w:cs="Arial"/>
                <w:noProof/>
                <w:sz w:val="17"/>
                <w:szCs w:val="17"/>
              </w:rPr>
              <w:drawing>
                <wp:anchor distT="0" distB="0" distL="114300" distR="114300" simplePos="0" relativeHeight="251665408" behindDoc="1" locked="0" layoutInCell="1" allowOverlap="1" wp14:anchorId="5E3C63C0" wp14:editId="4DCBA2A7">
                  <wp:simplePos x="0" y="0"/>
                  <wp:positionH relativeFrom="column">
                    <wp:posOffset>2403231</wp:posOffset>
                  </wp:positionH>
                  <wp:positionV relativeFrom="paragraph">
                    <wp:posOffset>314569</wp:posOffset>
                  </wp:positionV>
                  <wp:extent cx="1653683" cy="548688"/>
                  <wp:effectExtent l="0" t="0" r="3810" b="3810"/>
                  <wp:wrapNone/>
                  <wp:docPr id="34936818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0">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D7468F">
              <w:rPr>
                <w:rFonts w:ascii="Sto TT" w:hAnsi="Sto TT" w:cs="Arial"/>
                <w:sz w:val="17"/>
                <w:szCs w:val="17"/>
              </w:rPr>
              <w:br/>
            </w:r>
            <w:r w:rsidRPr="00D7468F">
              <w:rPr>
                <w:rFonts w:ascii="Sto TT" w:eastAsia="Segoe UI" w:hAnsi="Sto TT" w:cs="Arial"/>
                <w:sz w:val="17"/>
                <w:szCs w:val="17"/>
              </w:rPr>
              <w:t> </w:t>
            </w:r>
          </w:p>
          <w:p w14:paraId="439DFE04" w14:textId="77777777" w:rsidR="0017434C" w:rsidRPr="00D7468F" w:rsidRDefault="0017434C" w:rsidP="00E80E5E">
            <w:pPr>
              <w:ind w:right="1"/>
              <w:rPr>
                <w:rFonts w:ascii="Sto TT" w:hAnsi="Sto TT" w:cs="Arial"/>
                <w:sz w:val="17"/>
                <w:szCs w:val="17"/>
              </w:rPr>
            </w:pPr>
          </w:p>
          <w:p w14:paraId="1F26C0B6" w14:textId="77777777" w:rsidR="0017434C" w:rsidRPr="00D7468F" w:rsidRDefault="0017434C" w:rsidP="00E80E5E">
            <w:pPr>
              <w:ind w:right="1"/>
              <w:rPr>
                <w:rFonts w:ascii="Sto TT" w:hAnsi="Sto TT" w:cs="Arial"/>
                <w:sz w:val="18"/>
                <w:szCs w:val="18"/>
              </w:rPr>
            </w:pPr>
          </w:p>
        </w:tc>
      </w:tr>
    </w:tbl>
    <w:p w14:paraId="2409FEC6" w14:textId="77777777" w:rsidR="00477D98" w:rsidRPr="00D7468F" w:rsidRDefault="00477D98" w:rsidP="00477D98">
      <w:pPr>
        <w:ind w:left="-709" w:right="1"/>
        <w:rPr>
          <w:rFonts w:ascii="Sto TT" w:eastAsia="Verdana" w:hAnsi="Sto TT" w:cs="Arial"/>
          <w:sz w:val="18"/>
          <w:szCs w:val="18"/>
        </w:rPr>
      </w:pPr>
    </w:p>
    <w:bookmarkEnd w:id="0"/>
    <w:p w14:paraId="5A8399C4" w14:textId="77777777" w:rsidR="00740494" w:rsidRPr="00D7468F" w:rsidRDefault="00740494">
      <w:pPr>
        <w:rPr>
          <w:rFonts w:ascii="Sto TT" w:hAnsi="Sto TT"/>
          <w:sz w:val="18"/>
          <w:szCs w:val="18"/>
        </w:rPr>
      </w:pPr>
    </w:p>
    <w:sectPr w:rsidR="00740494" w:rsidRPr="00D7468F" w:rsidSect="00477D98">
      <w:headerReference w:type="even" r:id="rId41"/>
      <w:headerReference w:type="default" r:id="rId42"/>
      <w:footerReference w:type="default" r:id="rId43"/>
      <w:headerReference w:type="first" r:id="rId44"/>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C18A" w14:textId="77777777" w:rsidR="004C14CB" w:rsidRDefault="004C14CB" w:rsidP="00477D98">
      <w:r>
        <w:separator/>
      </w:r>
    </w:p>
  </w:endnote>
  <w:endnote w:type="continuationSeparator" w:id="0">
    <w:p w14:paraId="3582C8CF" w14:textId="77777777" w:rsidR="004C14CB" w:rsidRDefault="004C14CB" w:rsidP="0047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to TT">
    <w:panose1 w:val="02010504010101010104"/>
    <w:charset w:val="00"/>
    <w:family w:val="swiss"/>
    <w:pitch w:val="variable"/>
    <w:sig w:usb0="A00002FF" w:usb1="4000A06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E233" w14:textId="77777777" w:rsidR="00BB19A0" w:rsidRPr="004C00C6" w:rsidRDefault="00DE1F28">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0EEE3" w14:textId="77777777" w:rsidR="004C14CB" w:rsidRDefault="004C14CB" w:rsidP="00477D98">
      <w:r>
        <w:separator/>
      </w:r>
    </w:p>
  </w:footnote>
  <w:footnote w:type="continuationSeparator" w:id="0">
    <w:p w14:paraId="2E262D83" w14:textId="77777777" w:rsidR="004C14CB" w:rsidRDefault="004C14CB" w:rsidP="0047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C302" w14:textId="77777777" w:rsidR="00BB19A0" w:rsidRDefault="00DE1F28">
    <w:r>
      <w:rPr>
        <w:noProof/>
        <w:sz w:val="2"/>
      </w:rPr>
      <mc:AlternateContent>
        <mc:Choice Requires="wps">
          <w:drawing>
            <wp:anchor distT="0" distB="0" distL="114300" distR="114300" simplePos="0" relativeHeight="251660288" behindDoc="0" locked="0" layoutInCell="1" allowOverlap="1" wp14:anchorId="4E1BEFDF" wp14:editId="20CE26FD">
              <wp:simplePos x="0" y="0"/>
              <wp:positionH relativeFrom="margin">
                <wp:align>center</wp:align>
              </wp:positionH>
              <wp:positionV relativeFrom="margin">
                <wp:align>center</wp:align>
              </wp:positionV>
              <wp:extent cx="5390515" cy="1111250"/>
              <wp:effectExtent l="0" t="1457325" r="0" b="1527175"/>
              <wp:wrapNone/>
              <wp:docPr id="47379048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1C891BAF" w14:textId="77777777" w:rsidR="00BB19A0" w:rsidRDefault="00DE1F28"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BEFDF"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1C891BAF" w14:textId="77777777" w:rsidR="00BB19A0" w:rsidRDefault="00DE1F28"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BEFA" w14:textId="77777777" w:rsidR="00BB19A0" w:rsidRDefault="00DE1F28">
    <w:pPr>
      <w:pStyle w:val="En-tte"/>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1FBA7DBF" wp14:editId="5076C6F3">
              <wp:simplePos x="0" y="0"/>
              <wp:positionH relativeFrom="column">
                <wp:posOffset>-458528</wp:posOffset>
              </wp:positionH>
              <wp:positionV relativeFrom="paragraph">
                <wp:posOffset>210185</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B21206" id="_x0000_t32" coordsize="21600,21600" o:spt="32" o:oned="t" path="m,l21600,21600e" filled="f">
              <v:path arrowok="t" fillok="f" o:connecttype="none"/>
              <o:lock v:ext="edit" shapetype="t"/>
            </v:shapetype>
            <v:shape id="AutoShape 4" o:spid="_x0000_s1026" type="#_x0000_t32" style="position:absolute;margin-left:-36.1pt;margin-top:16.55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" strokecolor="#ffd700" strokeweight="1.5pt"/>
          </w:pict>
        </mc:Fallback>
      </mc:AlternateContent>
    </w:r>
    <w:r>
      <w:rPr>
        <w:noProof/>
      </w:rPr>
      <mc:AlternateContent>
        <mc:Choice Requires="wps">
          <w:drawing>
            <wp:anchor distT="0" distB="0" distL="114300" distR="114300" simplePos="0" relativeHeight="251663360" behindDoc="0" locked="0" layoutInCell="1" allowOverlap="1" wp14:anchorId="77BB4BD0" wp14:editId="67586E36">
              <wp:simplePos x="0" y="0"/>
              <wp:positionH relativeFrom="column">
                <wp:posOffset>-650414</wp:posOffset>
              </wp:positionH>
              <wp:positionV relativeFrom="paragraph">
                <wp:posOffset>-33944</wp:posOffset>
              </wp:positionV>
              <wp:extent cx="5091083" cy="314960"/>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083"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C7807" w14:textId="1370FA76" w:rsidR="00BB19A0" w:rsidRPr="00D65B1D" w:rsidRDefault="00495BD2" w:rsidP="00D65B1D">
                          <w:pPr>
                            <w:jc w:val="center"/>
                            <w:rPr>
                              <w:rFonts w:ascii="Sto TT" w:hAnsi="Sto TT" w:cs="Arial"/>
                              <w:b/>
                              <w:sz w:val="22"/>
                              <w:szCs w:val="22"/>
                              <w:lang w:val="en-US"/>
                            </w:rPr>
                          </w:pPr>
                          <w:r w:rsidRPr="00D65B1D">
                            <w:rPr>
                              <w:rFonts w:ascii="Sto TT" w:hAnsi="Sto TT" w:cs="Arial"/>
                              <w:b/>
                              <w:sz w:val="22"/>
                              <w:szCs w:val="22"/>
                              <w:lang w:val="en-US"/>
                            </w:rPr>
                            <w:t>Descriptif type</w:t>
                          </w:r>
                          <w:r w:rsidR="00DE1F28" w:rsidRPr="00D65B1D">
                            <w:rPr>
                              <w:rFonts w:ascii="Sto TT" w:hAnsi="Sto TT" w:cs="Arial"/>
                              <w:b/>
                              <w:sz w:val="22"/>
                              <w:szCs w:val="22"/>
                              <w:lang w:val="en-US"/>
                            </w:rPr>
                            <w:t xml:space="preserve"> - </w:t>
                          </w:r>
                          <w:r w:rsidR="005B570A" w:rsidRPr="00D65B1D">
                            <w:rPr>
                              <w:rFonts w:ascii="Sto TT" w:hAnsi="Sto TT" w:cs="Arial"/>
                              <w:b/>
                              <w:sz w:val="22"/>
                              <w:szCs w:val="22"/>
                              <w:lang w:val="en-US"/>
                            </w:rPr>
                            <w:t xml:space="preserve">StoTherm Wood </w:t>
                          </w:r>
                          <w:r w:rsidR="00A55EE4" w:rsidRPr="00D65B1D">
                            <w:rPr>
                              <w:rFonts w:ascii="Sto TT" w:hAnsi="Sto TT" w:cs="Arial"/>
                              <w:b/>
                              <w:sz w:val="22"/>
                              <w:szCs w:val="22"/>
                              <w:lang w:val="en-US"/>
                            </w:rPr>
                            <w:t>1</w:t>
                          </w:r>
                        </w:p>
                        <w:p w14:paraId="04A56489" w14:textId="77777777" w:rsidR="00BB19A0" w:rsidRPr="00D65B1D" w:rsidRDefault="00BB19A0" w:rsidP="00D65B1D">
                          <w:pPr>
                            <w:jc w:val="center"/>
                            <w:rPr>
                              <w:rFonts w:ascii="Sto TT" w:hAnsi="Sto TT" w:cs="Arial"/>
                              <w:sz w:val="32"/>
                              <w:lang w:val="en-US"/>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7BB4BD0" id="_x0000_t202" coordsize="21600,21600" o:spt="202" path="m,l,21600r21600,l21600,xe">
              <v:stroke joinstyle="miter"/>
              <v:path gradientshapeok="t" o:connecttype="rect"/>
            </v:shapetype>
            <v:shape id="Text Box 15" o:spid="_x0000_s1027" type="#_x0000_t202" style="position:absolute;margin-left:-51.2pt;margin-top:-2.65pt;width:400.85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" filled="f" stroked="f">
              <v:textbox>
                <w:txbxContent>
                  <w:p w14:paraId="044C7807" w14:textId="1370FA76" w:rsidR="00BB19A0" w:rsidRPr="00D65B1D" w:rsidRDefault="00495BD2" w:rsidP="00D65B1D">
                    <w:pPr>
                      <w:jc w:val="center"/>
                      <w:rPr>
                        <w:rFonts w:ascii="Sto TT" w:hAnsi="Sto TT" w:cs="Arial"/>
                        <w:b/>
                        <w:sz w:val="22"/>
                        <w:szCs w:val="22"/>
                        <w:lang w:val="en-US"/>
                      </w:rPr>
                    </w:pPr>
                    <w:r w:rsidRPr="00D65B1D">
                      <w:rPr>
                        <w:rFonts w:ascii="Sto TT" w:hAnsi="Sto TT" w:cs="Arial"/>
                        <w:b/>
                        <w:sz w:val="22"/>
                        <w:szCs w:val="22"/>
                        <w:lang w:val="en-US"/>
                      </w:rPr>
                      <w:t>Descriptif type</w:t>
                    </w:r>
                    <w:r w:rsidR="00DE1F28" w:rsidRPr="00D65B1D">
                      <w:rPr>
                        <w:rFonts w:ascii="Sto TT" w:hAnsi="Sto TT" w:cs="Arial"/>
                        <w:b/>
                        <w:sz w:val="22"/>
                        <w:szCs w:val="22"/>
                        <w:lang w:val="en-US"/>
                      </w:rPr>
                      <w:t xml:space="preserve"> - </w:t>
                    </w:r>
                    <w:r w:rsidR="005B570A" w:rsidRPr="00D65B1D">
                      <w:rPr>
                        <w:rFonts w:ascii="Sto TT" w:hAnsi="Sto TT" w:cs="Arial"/>
                        <w:b/>
                        <w:sz w:val="22"/>
                        <w:szCs w:val="22"/>
                        <w:lang w:val="en-US"/>
                      </w:rPr>
                      <w:t xml:space="preserve">StoTherm Wood </w:t>
                    </w:r>
                    <w:r w:rsidR="00A55EE4" w:rsidRPr="00D65B1D">
                      <w:rPr>
                        <w:rFonts w:ascii="Sto TT" w:hAnsi="Sto TT" w:cs="Arial"/>
                        <w:b/>
                        <w:sz w:val="22"/>
                        <w:szCs w:val="22"/>
                        <w:lang w:val="en-US"/>
                      </w:rPr>
                      <w:t>1</w:t>
                    </w:r>
                  </w:p>
                  <w:p w14:paraId="04A56489" w14:textId="77777777" w:rsidR="00BB19A0" w:rsidRPr="00D65B1D" w:rsidRDefault="00BB19A0" w:rsidP="00D65B1D">
                    <w:pPr>
                      <w:jc w:val="center"/>
                      <w:rPr>
                        <w:rFonts w:ascii="Sto TT" w:hAnsi="Sto TT" w:cs="Arial"/>
                        <w:sz w:val="32"/>
                        <w:lang w:val="en-US"/>
                      </w:rPr>
                    </w:pPr>
                  </w:p>
                </w:txbxContent>
              </v:textbox>
            </v:shape>
          </w:pict>
        </mc:Fallback>
      </mc:AlternateContent>
    </w:r>
    <w:r>
      <w:rPr>
        <w:noProof/>
      </w:rPr>
      <w:drawing>
        <wp:anchor distT="0" distB="0" distL="114300" distR="114300" simplePos="0" relativeHeight="251665408" behindDoc="0" locked="0" layoutInCell="1" allowOverlap="1" wp14:anchorId="4688ED00" wp14:editId="0DF8FB9C">
          <wp:simplePos x="0" y="0"/>
          <wp:positionH relativeFrom="column">
            <wp:posOffset>4396105</wp:posOffset>
          </wp:positionH>
          <wp:positionV relativeFrom="paragraph">
            <wp:posOffset>-153035</wp:posOffset>
          </wp:positionV>
          <wp:extent cx="1800225" cy="504825"/>
          <wp:effectExtent l="0" t="0" r="0" b="0"/>
          <wp:wrapNone/>
          <wp:docPr id="1295837778" name="Image 1295837778"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23FE1" w14:textId="77777777" w:rsidR="00BB19A0" w:rsidRPr="00F80356" w:rsidRDefault="00DE1F28" w:rsidP="00165F4D">
    <w:pPr>
      <w:rPr>
        <w:rFonts w:ascii="Arial" w:hAnsi="Arial" w:cs="Arial"/>
      </w:rPr>
    </w:pPr>
    <w:r w:rsidRPr="00F80356">
      <w:tab/>
    </w:r>
  </w:p>
  <w:p w14:paraId="6C798A61" w14:textId="77777777" w:rsidR="00BB19A0" w:rsidRPr="00F703E1" w:rsidRDefault="00BB19A0">
    <w:pPr>
      <w:pStyle w:val="En-tte"/>
      <w:rPr>
        <w:u w:val="single"/>
      </w:rPr>
    </w:pPr>
  </w:p>
  <w:p w14:paraId="0DBE9DF5" w14:textId="77777777" w:rsidR="00BB19A0" w:rsidRDefault="00BB19A0">
    <w:pPr>
      <w:pStyle w:val="En-tte"/>
    </w:pPr>
  </w:p>
  <w:p w14:paraId="64BE7713" w14:textId="77777777" w:rsidR="00BB19A0" w:rsidRDefault="00BB19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54B2" w14:textId="77777777" w:rsidR="00BB19A0" w:rsidRDefault="00DE1F28" w:rsidP="00F703E1">
    <w:pPr>
      <w:pStyle w:val="En-tte"/>
    </w:pPr>
    <w:r w:rsidRPr="008F7DFD">
      <w:rPr>
        <w:rFonts w:ascii="Arial" w:hAnsi="Arial" w:cs="Arial"/>
        <w:noProof/>
        <w:sz w:val="12"/>
        <w:szCs w:val="12"/>
        <w:u w:val="single"/>
      </w:rPr>
      <mc:AlternateContent>
        <mc:Choice Requires="wps">
          <w:drawing>
            <wp:anchor distT="0" distB="0" distL="114300" distR="114300" simplePos="0" relativeHeight="251661312" behindDoc="0" locked="0" layoutInCell="1" allowOverlap="1" wp14:anchorId="23D944A6" wp14:editId="612B57E3">
              <wp:simplePos x="0" y="0"/>
              <wp:positionH relativeFrom="column">
                <wp:posOffset>-461703</wp:posOffset>
              </wp:positionH>
              <wp:positionV relativeFrom="paragraph">
                <wp:posOffset>209550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B2B4A" id="_x0000_t32" coordsize="21600,21600" o:spt="32" o:oned="t" path="m,l21600,21600e" filled="f">
              <v:path arrowok="t" fillok="f" o:connecttype="none"/>
              <o:lock v:ext="edit" shapetype="t"/>
            </v:shapetype>
            <v:shape id="AutoShape 9" o:spid="_x0000_s1026" type="#_x0000_t32" style="position:absolute;margin-left:-36.35pt;margin-top:16.5pt;width:337.2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" strokecolor="#ffd700" strokeweight="1.5pt"/>
          </w:pict>
        </mc:Fallback>
      </mc:AlternateContent>
    </w:r>
    <w:r>
      <w:rPr>
        <w:noProof/>
      </w:rPr>
      <mc:AlternateContent>
        <mc:Choice Requires="wps">
          <w:drawing>
            <wp:anchor distT="0" distB="0" distL="114300" distR="114300" simplePos="0" relativeHeight="251662336" behindDoc="0" locked="0" layoutInCell="1" allowOverlap="1" wp14:anchorId="56D79986" wp14:editId="28297F66">
              <wp:simplePos x="0" y="0"/>
              <wp:positionH relativeFrom="column">
                <wp:posOffset>-643486</wp:posOffset>
              </wp:positionH>
              <wp:positionV relativeFrom="paragraph">
                <wp:posOffset>-27478</wp:posOffset>
              </wp:positionV>
              <wp:extent cx="5381914" cy="249382"/>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914" cy="249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C6D8A" w14:textId="124BB663" w:rsidR="00BB19A0" w:rsidRPr="00D65B1D" w:rsidRDefault="00495BD2" w:rsidP="00D65B1D">
                          <w:pPr>
                            <w:jc w:val="center"/>
                            <w:rPr>
                              <w:rFonts w:ascii="Sto TT" w:hAnsi="Sto TT" w:cs="Arial"/>
                              <w:b/>
                              <w:sz w:val="22"/>
                              <w:szCs w:val="22"/>
                              <w:lang w:val="en-US"/>
                            </w:rPr>
                          </w:pPr>
                          <w:r w:rsidRPr="00D65B1D">
                            <w:rPr>
                              <w:rFonts w:ascii="Sto TT" w:hAnsi="Sto TT" w:cs="Arial"/>
                              <w:b/>
                              <w:sz w:val="22"/>
                              <w:szCs w:val="22"/>
                              <w:lang w:val="en-US"/>
                            </w:rPr>
                            <w:t>Descriptif type</w:t>
                          </w:r>
                          <w:r w:rsidR="00DE1F28" w:rsidRPr="00D65B1D">
                            <w:rPr>
                              <w:rFonts w:ascii="Sto TT" w:hAnsi="Sto TT" w:cs="Arial"/>
                              <w:b/>
                              <w:sz w:val="22"/>
                              <w:szCs w:val="22"/>
                              <w:lang w:val="en-US"/>
                            </w:rPr>
                            <w:t xml:space="preserve"> - </w:t>
                          </w:r>
                          <w:r w:rsidR="005B570A" w:rsidRPr="00D65B1D">
                            <w:rPr>
                              <w:rFonts w:ascii="Sto TT" w:hAnsi="Sto TT" w:cs="Arial"/>
                              <w:b/>
                              <w:sz w:val="22"/>
                              <w:szCs w:val="22"/>
                              <w:lang w:val="en-US"/>
                            </w:rPr>
                            <w:t>StoTherm Wood</w:t>
                          </w:r>
                          <w:r w:rsidR="00A55EE4" w:rsidRPr="00D65B1D">
                            <w:rPr>
                              <w:rFonts w:ascii="Sto TT" w:hAnsi="Sto TT" w:cs="Arial"/>
                              <w:b/>
                              <w:sz w:val="22"/>
                              <w:szCs w:val="22"/>
                              <w:lang w:val="en-US"/>
                            </w:rPr>
                            <w:t xml:space="preserve"> 1</w:t>
                          </w:r>
                        </w:p>
                        <w:p w14:paraId="09132D90" w14:textId="77777777" w:rsidR="00BB19A0" w:rsidRPr="00D65B1D" w:rsidRDefault="00BB19A0" w:rsidP="00D65B1D">
                          <w:pPr>
                            <w:jc w:val="center"/>
                            <w:rPr>
                              <w:rFonts w:ascii="Sto TT" w:hAnsi="Sto TT" w:cs="Arial"/>
                              <w:b/>
                              <w:sz w:val="28"/>
                              <w:szCs w:val="28"/>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79986" id="_x0000_t202" coordsize="21600,21600" o:spt="202" path="m,l,21600r21600,l21600,xe">
              <v:stroke joinstyle="miter"/>
              <v:path gradientshapeok="t" o:connecttype="rect"/>
            </v:shapetype>
            <v:shape id="Zone de texte 2" o:spid="_x0000_s1028" type="#_x0000_t202" style="position:absolute;margin-left:-50.65pt;margin-top:-2.15pt;width:423.75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" filled="f" stroked="f">
              <v:textbox>
                <w:txbxContent>
                  <w:p w14:paraId="424C6D8A" w14:textId="124BB663" w:rsidR="00BB19A0" w:rsidRPr="00D65B1D" w:rsidRDefault="00495BD2" w:rsidP="00D65B1D">
                    <w:pPr>
                      <w:jc w:val="center"/>
                      <w:rPr>
                        <w:rFonts w:ascii="Sto TT" w:hAnsi="Sto TT" w:cs="Arial"/>
                        <w:b/>
                        <w:sz w:val="22"/>
                        <w:szCs w:val="22"/>
                        <w:lang w:val="en-US"/>
                      </w:rPr>
                    </w:pPr>
                    <w:r w:rsidRPr="00D65B1D">
                      <w:rPr>
                        <w:rFonts w:ascii="Sto TT" w:hAnsi="Sto TT" w:cs="Arial"/>
                        <w:b/>
                        <w:sz w:val="22"/>
                        <w:szCs w:val="22"/>
                        <w:lang w:val="en-US"/>
                      </w:rPr>
                      <w:t>Descriptif type</w:t>
                    </w:r>
                    <w:r w:rsidR="00DE1F28" w:rsidRPr="00D65B1D">
                      <w:rPr>
                        <w:rFonts w:ascii="Sto TT" w:hAnsi="Sto TT" w:cs="Arial"/>
                        <w:b/>
                        <w:sz w:val="22"/>
                        <w:szCs w:val="22"/>
                        <w:lang w:val="en-US"/>
                      </w:rPr>
                      <w:t xml:space="preserve"> - </w:t>
                    </w:r>
                    <w:r w:rsidR="005B570A" w:rsidRPr="00D65B1D">
                      <w:rPr>
                        <w:rFonts w:ascii="Sto TT" w:hAnsi="Sto TT" w:cs="Arial"/>
                        <w:b/>
                        <w:sz w:val="22"/>
                        <w:szCs w:val="22"/>
                        <w:lang w:val="en-US"/>
                      </w:rPr>
                      <w:t>StoTherm Wood</w:t>
                    </w:r>
                    <w:r w:rsidR="00A55EE4" w:rsidRPr="00D65B1D">
                      <w:rPr>
                        <w:rFonts w:ascii="Sto TT" w:hAnsi="Sto TT" w:cs="Arial"/>
                        <w:b/>
                        <w:sz w:val="22"/>
                        <w:szCs w:val="22"/>
                        <w:lang w:val="en-US"/>
                      </w:rPr>
                      <w:t xml:space="preserve"> 1</w:t>
                    </w:r>
                  </w:p>
                  <w:p w14:paraId="09132D90" w14:textId="77777777" w:rsidR="00BB19A0" w:rsidRPr="00D65B1D" w:rsidRDefault="00BB19A0" w:rsidP="00D65B1D">
                    <w:pPr>
                      <w:jc w:val="center"/>
                      <w:rPr>
                        <w:rFonts w:ascii="Sto TT" w:hAnsi="Sto TT" w:cs="Arial"/>
                        <w:b/>
                        <w:sz w:val="28"/>
                        <w:szCs w:val="28"/>
                        <w:lang w:val="en-US"/>
                      </w:rPr>
                    </w:pPr>
                  </w:p>
                </w:txbxContent>
              </v:textbox>
            </v:shape>
          </w:pict>
        </mc:Fallback>
      </mc:AlternateContent>
    </w:r>
    <w:r>
      <w:rPr>
        <w:noProof/>
      </w:rPr>
      <w:drawing>
        <wp:anchor distT="0" distB="0" distL="114300" distR="114300" simplePos="0" relativeHeight="251664384" behindDoc="0" locked="0" layoutInCell="1" allowOverlap="1" wp14:anchorId="5B093E1A" wp14:editId="0CA04151">
          <wp:simplePos x="0" y="0"/>
          <wp:positionH relativeFrom="column">
            <wp:posOffset>4396105</wp:posOffset>
          </wp:positionH>
          <wp:positionV relativeFrom="paragraph">
            <wp:posOffset>-151765</wp:posOffset>
          </wp:positionV>
          <wp:extent cx="1800225" cy="504825"/>
          <wp:effectExtent l="0" t="0" r="0" b="0"/>
          <wp:wrapNone/>
          <wp:docPr id="957508969" name="Image 95750896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82747" w14:textId="77777777" w:rsidR="00BB19A0" w:rsidRPr="00EB2BA7" w:rsidRDefault="00DE1F28" w:rsidP="00F703E1">
    <w:pPr>
      <w:pStyle w:val="En-tte"/>
      <w:rPr>
        <w:rFonts w:ascii="Arial" w:hAnsi="Arial" w:cs="Arial"/>
      </w:rPr>
    </w:pPr>
    <w:r>
      <w:tab/>
    </w:r>
  </w:p>
  <w:p w14:paraId="5A5796F3" w14:textId="77777777" w:rsidR="00BB19A0" w:rsidRPr="008F7DFD" w:rsidRDefault="00BB19A0">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7C22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B2C2E"/>
    <w:multiLevelType w:val="hybridMultilevel"/>
    <w:tmpl w:val="2722CE0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476182"/>
    <w:multiLevelType w:val="hybridMultilevel"/>
    <w:tmpl w:val="2444A8D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9" w15:restartNumberingAfterBreak="0">
    <w:nsid w:val="15133538"/>
    <w:multiLevelType w:val="multilevel"/>
    <w:tmpl w:val="ADEA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961F14"/>
    <w:multiLevelType w:val="hybridMultilevel"/>
    <w:tmpl w:val="ED406AD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2"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3D184A"/>
    <w:multiLevelType w:val="multilevel"/>
    <w:tmpl w:val="FEAA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AF0015"/>
    <w:multiLevelType w:val="hybridMultilevel"/>
    <w:tmpl w:val="92CAEF74"/>
    <w:lvl w:ilvl="0" w:tplc="040C0005">
      <w:start w:val="1"/>
      <w:numFmt w:val="bullet"/>
      <w:lvlText w:val=""/>
      <w:lvlJc w:val="left"/>
      <w:pPr>
        <w:ind w:left="371" w:hanging="360"/>
      </w:pPr>
      <w:rPr>
        <w:rFonts w:ascii="Wingdings" w:hAnsi="Wingdings"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18"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3A284E05"/>
    <w:multiLevelType w:val="hybridMultilevel"/>
    <w:tmpl w:val="DB54C5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5" w15:restartNumberingAfterBreak="0">
    <w:nsid w:val="4D0200D2"/>
    <w:multiLevelType w:val="multilevel"/>
    <w:tmpl w:val="696A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528B718B"/>
    <w:multiLevelType w:val="multilevel"/>
    <w:tmpl w:val="6838A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8D739B"/>
    <w:multiLevelType w:val="hybridMultilevel"/>
    <w:tmpl w:val="BA5CFF0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5C255224"/>
    <w:multiLevelType w:val="hybridMultilevel"/>
    <w:tmpl w:val="E4DC664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0" w15:restartNumberingAfterBreak="0">
    <w:nsid w:val="665E03E8"/>
    <w:multiLevelType w:val="multilevel"/>
    <w:tmpl w:val="F0E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3"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4"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35" w15:restartNumberingAfterBreak="0">
    <w:nsid w:val="78A05FCF"/>
    <w:multiLevelType w:val="multilevel"/>
    <w:tmpl w:val="9BF0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7" w15:restartNumberingAfterBreak="0">
    <w:nsid w:val="7D7F436E"/>
    <w:multiLevelType w:val="hybridMultilevel"/>
    <w:tmpl w:val="1F901C3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5"/>
  </w:num>
  <w:num w:numId="2" w16cid:durableId="1943879205">
    <w:abstractNumId w:val="34"/>
  </w:num>
  <w:num w:numId="3" w16cid:durableId="1020352693">
    <w:abstractNumId w:val="3"/>
  </w:num>
  <w:num w:numId="4" w16cid:durableId="1297680385">
    <w:abstractNumId w:val="31"/>
  </w:num>
  <w:num w:numId="5" w16cid:durableId="1580823575">
    <w:abstractNumId w:val="33"/>
  </w:num>
  <w:num w:numId="6" w16cid:durableId="2035955266">
    <w:abstractNumId w:val="24"/>
  </w:num>
  <w:num w:numId="7" w16cid:durableId="813181323">
    <w:abstractNumId w:val="12"/>
  </w:num>
  <w:num w:numId="8" w16cid:durableId="446966033">
    <w:abstractNumId w:val="19"/>
  </w:num>
  <w:num w:numId="9" w16cid:durableId="132529940">
    <w:abstractNumId w:val="10"/>
  </w:num>
  <w:num w:numId="10" w16cid:durableId="893273499">
    <w:abstractNumId w:val="6"/>
  </w:num>
  <w:num w:numId="11" w16cid:durableId="1937011422">
    <w:abstractNumId w:val="7"/>
  </w:num>
  <w:num w:numId="12" w16cid:durableId="1054231276">
    <w:abstractNumId w:val="8"/>
  </w:num>
  <w:num w:numId="13" w16cid:durableId="43064779">
    <w:abstractNumId w:val="22"/>
  </w:num>
  <w:num w:numId="14" w16cid:durableId="1303268512">
    <w:abstractNumId w:val="29"/>
  </w:num>
  <w:num w:numId="15" w16cid:durableId="905073849">
    <w:abstractNumId w:val="5"/>
  </w:num>
  <w:num w:numId="16" w16cid:durableId="483593577">
    <w:abstractNumId w:val="18"/>
  </w:num>
  <w:num w:numId="17" w16cid:durableId="719868577">
    <w:abstractNumId w:val="20"/>
  </w:num>
  <w:num w:numId="18" w16cid:durableId="1059666478">
    <w:abstractNumId w:val="14"/>
  </w:num>
  <w:num w:numId="19" w16cid:durableId="467556013">
    <w:abstractNumId w:val="9"/>
  </w:num>
  <w:num w:numId="20" w16cid:durableId="1689408664">
    <w:abstractNumId w:val="4"/>
  </w:num>
  <w:num w:numId="21" w16cid:durableId="1993824317">
    <w:abstractNumId w:val="32"/>
  </w:num>
  <w:num w:numId="22" w16cid:durableId="347147721">
    <w:abstractNumId w:val="1"/>
  </w:num>
  <w:num w:numId="23" w16cid:durableId="2051027730">
    <w:abstractNumId w:val="36"/>
  </w:num>
  <w:num w:numId="24" w16cid:durableId="11878505">
    <w:abstractNumId w:val="26"/>
  </w:num>
  <w:num w:numId="25" w16cid:durableId="850609184">
    <w:abstractNumId w:val="21"/>
  </w:num>
  <w:num w:numId="26" w16cid:durableId="1985505902">
    <w:abstractNumId w:val="16"/>
  </w:num>
  <w:num w:numId="27" w16cid:durableId="1425803622">
    <w:abstractNumId w:val="17"/>
  </w:num>
  <w:num w:numId="28" w16cid:durableId="570385292">
    <w:abstractNumId w:val="27"/>
  </w:num>
  <w:num w:numId="29" w16cid:durableId="1574312308">
    <w:abstractNumId w:val="30"/>
  </w:num>
  <w:num w:numId="30" w16cid:durableId="193005274">
    <w:abstractNumId w:val="11"/>
  </w:num>
  <w:num w:numId="31" w16cid:durableId="20598208">
    <w:abstractNumId w:val="2"/>
  </w:num>
  <w:num w:numId="32" w16cid:durableId="1859661758">
    <w:abstractNumId w:val="23"/>
  </w:num>
  <w:num w:numId="33" w16cid:durableId="1237012509">
    <w:abstractNumId w:val="13"/>
  </w:num>
  <w:num w:numId="34" w16cid:durableId="946546785">
    <w:abstractNumId w:val="28"/>
  </w:num>
  <w:num w:numId="35" w16cid:durableId="362557279">
    <w:abstractNumId w:val="0"/>
  </w:num>
  <w:num w:numId="36" w16cid:durableId="1982147906">
    <w:abstractNumId w:val="37"/>
  </w:num>
  <w:num w:numId="37" w16cid:durableId="1649091356">
    <w:abstractNumId w:val="35"/>
  </w:num>
  <w:num w:numId="38" w16cid:durableId="16141672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98"/>
    <w:rsid w:val="00004B07"/>
    <w:rsid w:val="0000736B"/>
    <w:rsid w:val="000074F5"/>
    <w:rsid w:val="0001434D"/>
    <w:rsid w:val="000217E3"/>
    <w:rsid w:val="00024D4E"/>
    <w:rsid w:val="000300A3"/>
    <w:rsid w:val="00033687"/>
    <w:rsid w:val="000478FF"/>
    <w:rsid w:val="00050DF8"/>
    <w:rsid w:val="00057006"/>
    <w:rsid w:val="00061A98"/>
    <w:rsid w:val="00062098"/>
    <w:rsid w:val="00074681"/>
    <w:rsid w:val="00090EED"/>
    <w:rsid w:val="000938FA"/>
    <w:rsid w:val="000A0C52"/>
    <w:rsid w:val="000A30DA"/>
    <w:rsid w:val="000A324A"/>
    <w:rsid w:val="000A3485"/>
    <w:rsid w:val="000A6105"/>
    <w:rsid w:val="000B788D"/>
    <w:rsid w:val="000B7C35"/>
    <w:rsid w:val="000C0923"/>
    <w:rsid w:val="000D0DF4"/>
    <w:rsid w:val="000D40C7"/>
    <w:rsid w:val="000F6405"/>
    <w:rsid w:val="000F78DF"/>
    <w:rsid w:val="001004DC"/>
    <w:rsid w:val="00106DC1"/>
    <w:rsid w:val="00124404"/>
    <w:rsid w:val="00133098"/>
    <w:rsid w:val="00136749"/>
    <w:rsid w:val="00140AC1"/>
    <w:rsid w:val="00142264"/>
    <w:rsid w:val="00145F97"/>
    <w:rsid w:val="00155DE2"/>
    <w:rsid w:val="0016114A"/>
    <w:rsid w:val="00163FE9"/>
    <w:rsid w:val="0016685F"/>
    <w:rsid w:val="0017434C"/>
    <w:rsid w:val="00191653"/>
    <w:rsid w:val="00194E21"/>
    <w:rsid w:val="001B15A0"/>
    <w:rsid w:val="001B2BA6"/>
    <w:rsid w:val="001B4646"/>
    <w:rsid w:val="001B5A95"/>
    <w:rsid w:val="001C3BC0"/>
    <w:rsid w:val="001D1F2B"/>
    <w:rsid w:val="001D5107"/>
    <w:rsid w:val="001D54A3"/>
    <w:rsid w:val="001D7875"/>
    <w:rsid w:val="001E07A5"/>
    <w:rsid w:val="001E452F"/>
    <w:rsid w:val="001E6778"/>
    <w:rsid w:val="001F1EAA"/>
    <w:rsid w:val="001F3E2C"/>
    <w:rsid w:val="001F40CA"/>
    <w:rsid w:val="001F44F0"/>
    <w:rsid w:val="001F553D"/>
    <w:rsid w:val="001F6240"/>
    <w:rsid w:val="001F714C"/>
    <w:rsid w:val="00207055"/>
    <w:rsid w:val="00213FB3"/>
    <w:rsid w:val="00221B26"/>
    <w:rsid w:val="0022458D"/>
    <w:rsid w:val="00240443"/>
    <w:rsid w:val="002454AA"/>
    <w:rsid w:val="00246A6B"/>
    <w:rsid w:val="00251222"/>
    <w:rsid w:val="002516BD"/>
    <w:rsid w:val="002549F1"/>
    <w:rsid w:val="002634B3"/>
    <w:rsid w:val="00265A3D"/>
    <w:rsid w:val="00273C9C"/>
    <w:rsid w:val="00274D32"/>
    <w:rsid w:val="0028772E"/>
    <w:rsid w:val="0029355B"/>
    <w:rsid w:val="00296D60"/>
    <w:rsid w:val="002A7DFD"/>
    <w:rsid w:val="002B01B4"/>
    <w:rsid w:val="002C52AE"/>
    <w:rsid w:val="002D2F83"/>
    <w:rsid w:val="002D67D7"/>
    <w:rsid w:val="002D69E0"/>
    <w:rsid w:val="002D6B48"/>
    <w:rsid w:val="002E3271"/>
    <w:rsid w:val="002F529F"/>
    <w:rsid w:val="00301F2A"/>
    <w:rsid w:val="003069A3"/>
    <w:rsid w:val="00307536"/>
    <w:rsid w:val="00311B45"/>
    <w:rsid w:val="00316AFD"/>
    <w:rsid w:val="0031704C"/>
    <w:rsid w:val="00320936"/>
    <w:rsid w:val="003261CC"/>
    <w:rsid w:val="00332876"/>
    <w:rsid w:val="00334905"/>
    <w:rsid w:val="00344513"/>
    <w:rsid w:val="00352ECD"/>
    <w:rsid w:val="003564EC"/>
    <w:rsid w:val="003643BD"/>
    <w:rsid w:val="0036747A"/>
    <w:rsid w:val="00377E43"/>
    <w:rsid w:val="00384073"/>
    <w:rsid w:val="00390776"/>
    <w:rsid w:val="00394876"/>
    <w:rsid w:val="003A17B2"/>
    <w:rsid w:val="003A6D92"/>
    <w:rsid w:val="003B0A0F"/>
    <w:rsid w:val="003B669D"/>
    <w:rsid w:val="003B79DE"/>
    <w:rsid w:val="003D053F"/>
    <w:rsid w:val="003D242F"/>
    <w:rsid w:val="003D6FFF"/>
    <w:rsid w:val="003E5055"/>
    <w:rsid w:val="00402E6A"/>
    <w:rsid w:val="00406CD5"/>
    <w:rsid w:val="00412728"/>
    <w:rsid w:val="00436D80"/>
    <w:rsid w:val="004417F5"/>
    <w:rsid w:val="004476BE"/>
    <w:rsid w:val="004612C7"/>
    <w:rsid w:val="00467470"/>
    <w:rsid w:val="00471893"/>
    <w:rsid w:val="00473DAB"/>
    <w:rsid w:val="00476992"/>
    <w:rsid w:val="004775F4"/>
    <w:rsid w:val="00477D98"/>
    <w:rsid w:val="004869CB"/>
    <w:rsid w:val="00490998"/>
    <w:rsid w:val="00494A75"/>
    <w:rsid w:val="00495BD2"/>
    <w:rsid w:val="00497977"/>
    <w:rsid w:val="004A1CCC"/>
    <w:rsid w:val="004A430F"/>
    <w:rsid w:val="004B0952"/>
    <w:rsid w:val="004B2148"/>
    <w:rsid w:val="004B33F6"/>
    <w:rsid w:val="004B6B2E"/>
    <w:rsid w:val="004C14CB"/>
    <w:rsid w:val="00502121"/>
    <w:rsid w:val="00505F46"/>
    <w:rsid w:val="00506D9C"/>
    <w:rsid w:val="005111E9"/>
    <w:rsid w:val="00517613"/>
    <w:rsid w:val="00517DD2"/>
    <w:rsid w:val="00543EAF"/>
    <w:rsid w:val="00547A66"/>
    <w:rsid w:val="0055047B"/>
    <w:rsid w:val="00553D29"/>
    <w:rsid w:val="0055542E"/>
    <w:rsid w:val="005567B7"/>
    <w:rsid w:val="005568F6"/>
    <w:rsid w:val="005605E6"/>
    <w:rsid w:val="00562C56"/>
    <w:rsid w:val="00564354"/>
    <w:rsid w:val="00564F7A"/>
    <w:rsid w:val="0057095C"/>
    <w:rsid w:val="00591921"/>
    <w:rsid w:val="00593986"/>
    <w:rsid w:val="00597B3B"/>
    <w:rsid w:val="005A7DA9"/>
    <w:rsid w:val="005B570A"/>
    <w:rsid w:val="005D2AE5"/>
    <w:rsid w:val="005D3B3C"/>
    <w:rsid w:val="005D6D8B"/>
    <w:rsid w:val="005E3370"/>
    <w:rsid w:val="00603B50"/>
    <w:rsid w:val="00604151"/>
    <w:rsid w:val="006119F4"/>
    <w:rsid w:val="00613CD9"/>
    <w:rsid w:val="00617AAF"/>
    <w:rsid w:val="00663502"/>
    <w:rsid w:val="00663C7F"/>
    <w:rsid w:val="006771CB"/>
    <w:rsid w:val="00681805"/>
    <w:rsid w:val="00684246"/>
    <w:rsid w:val="006942BE"/>
    <w:rsid w:val="00696E2B"/>
    <w:rsid w:val="00697C4F"/>
    <w:rsid w:val="006B16D4"/>
    <w:rsid w:val="006B2A26"/>
    <w:rsid w:val="006B6D9B"/>
    <w:rsid w:val="006C0C97"/>
    <w:rsid w:val="006C4212"/>
    <w:rsid w:val="006C67AB"/>
    <w:rsid w:val="006D3C37"/>
    <w:rsid w:val="006E488B"/>
    <w:rsid w:val="006E7E37"/>
    <w:rsid w:val="00702CE2"/>
    <w:rsid w:val="0070353E"/>
    <w:rsid w:val="007060BD"/>
    <w:rsid w:val="00714163"/>
    <w:rsid w:val="007259DC"/>
    <w:rsid w:val="00734C9F"/>
    <w:rsid w:val="0074013F"/>
    <w:rsid w:val="00740345"/>
    <w:rsid w:val="00740494"/>
    <w:rsid w:val="007412EC"/>
    <w:rsid w:val="0074467A"/>
    <w:rsid w:val="00760A68"/>
    <w:rsid w:val="00770192"/>
    <w:rsid w:val="00770D06"/>
    <w:rsid w:val="0079133B"/>
    <w:rsid w:val="00792081"/>
    <w:rsid w:val="00793097"/>
    <w:rsid w:val="007A3150"/>
    <w:rsid w:val="007A35BD"/>
    <w:rsid w:val="007B2167"/>
    <w:rsid w:val="007B22F4"/>
    <w:rsid w:val="007B3AE0"/>
    <w:rsid w:val="007B6C8A"/>
    <w:rsid w:val="007C0529"/>
    <w:rsid w:val="007C48C0"/>
    <w:rsid w:val="007C6ABD"/>
    <w:rsid w:val="007D3A4D"/>
    <w:rsid w:val="007D42E7"/>
    <w:rsid w:val="007E00EA"/>
    <w:rsid w:val="007E2487"/>
    <w:rsid w:val="007E49DA"/>
    <w:rsid w:val="007E6B4A"/>
    <w:rsid w:val="00801C92"/>
    <w:rsid w:val="00804893"/>
    <w:rsid w:val="00810495"/>
    <w:rsid w:val="008154F0"/>
    <w:rsid w:val="00821C91"/>
    <w:rsid w:val="00823403"/>
    <w:rsid w:val="008266BB"/>
    <w:rsid w:val="00840C62"/>
    <w:rsid w:val="00842213"/>
    <w:rsid w:val="0084377C"/>
    <w:rsid w:val="008579EE"/>
    <w:rsid w:val="00861EEA"/>
    <w:rsid w:val="008674D5"/>
    <w:rsid w:val="00894DB2"/>
    <w:rsid w:val="008A334D"/>
    <w:rsid w:val="008A3A4B"/>
    <w:rsid w:val="008A66DA"/>
    <w:rsid w:val="008B1893"/>
    <w:rsid w:val="008D59F9"/>
    <w:rsid w:val="008E4678"/>
    <w:rsid w:val="0090410B"/>
    <w:rsid w:val="0090643D"/>
    <w:rsid w:val="0090689E"/>
    <w:rsid w:val="00906ADD"/>
    <w:rsid w:val="009118A6"/>
    <w:rsid w:val="00914DD2"/>
    <w:rsid w:val="00924181"/>
    <w:rsid w:val="009327A5"/>
    <w:rsid w:val="00937EB6"/>
    <w:rsid w:val="009414D5"/>
    <w:rsid w:val="00945FB2"/>
    <w:rsid w:val="00951EB9"/>
    <w:rsid w:val="009534E4"/>
    <w:rsid w:val="00962890"/>
    <w:rsid w:val="00966027"/>
    <w:rsid w:val="00976ECB"/>
    <w:rsid w:val="0098047D"/>
    <w:rsid w:val="009A1F21"/>
    <w:rsid w:val="009A270D"/>
    <w:rsid w:val="009A4F47"/>
    <w:rsid w:val="009B12F2"/>
    <w:rsid w:val="009B5B8E"/>
    <w:rsid w:val="009D78B8"/>
    <w:rsid w:val="009E1864"/>
    <w:rsid w:val="009E2BC5"/>
    <w:rsid w:val="009E4CBE"/>
    <w:rsid w:val="009F2432"/>
    <w:rsid w:val="009F5B0B"/>
    <w:rsid w:val="009F5F88"/>
    <w:rsid w:val="00A058B6"/>
    <w:rsid w:val="00A128E4"/>
    <w:rsid w:val="00A21446"/>
    <w:rsid w:val="00A25E4D"/>
    <w:rsid w:val="00A27A11"/>
    <w:rsid w:val="00A30DB9"/>
    <w:rsid w:val="00A4482C"/>
    <w:rsid w:val="00A50E65"/>
    <w:rsid w:val="00A53FC9"/>
    <w:rsid w:val="00A55EE4"/>
    <w:rsid w:val="00A60853"/>
    <w:rsid w:val="00A63F7A"/>
    <w:rsid w:val="00A6499F"/>
    <w:rsid w:val="00A70801"/>
    <w:rsid w:val="00A74149"/>
    <w:rsid w:val="00A77050"/>
    <w:rsid w:val="00A91B98"/>
    <w:rsid w:val="00A94A5E"/>
    <w:rsid w:val="00AA0DED"/>
    <w:rsid w:val="00AA4930"/>
    <w:rsid w:val="00AB46F3"/>
    <w:rsid w:val="00AC23F3"/>
    <w:rsid w:val="00AC524B"/>
    <w:rsid w:val="00AD0DB4"/>
    <w:rsid w:val="00AD2AB7"/>
    <w:rsid w:val="00AE54F5"/>
    <w:rsid w:val="00AF1861"/>
    <w:rsid w:val="00AF2442"/>
    <w:rsid w:val="00AF5C34"/>
    <w:rsid w:val="00B00ABE"/>
    <w:rsid w:val="00B072EF"/>
    <w:rsid w:val="00B11534"/>
    <w:rsid w:val="00B22B12"/>
    <w:rsid w:val="00B2657D"/>
    <w:rsid w:val="00B36E4D"/>
    <w:rsid w:val="00B4144C"/>
    <w:rsid w:val="00B42BB8"/>
    <w:rsid w:val="00B54647"/>
    <w:rsid w:val="00B57077"/>
    <w:rsid w:val="00B60B5F"/>
    <w:rsid w:val="00B72653"/>
    <w:rsid w:val="00B75517"/>
    <w:rsid w:val="00B831D0"/>
    <w:rsid w:val="00BA682C"/>
    <w:rsid w:val="00BB19A0"/>
    <w:rsid w:val="00BB3F71"/>
    <w:rsid w:val="00BB4651"/>
    <w:rsid w:val="00BD51FD"/>
    <w:rsid w:val="00BD7F61"/>
    <w:rsid w:val="00BF2D5A"/>
    <w:rsid w:val="00C16586"/>
    <w:rsid w:val="00C166CF"/>
    <w:rsid w:val="00C20E1E"/>
    <w:rsid w:val="00C2449E"/>
    <w:rsid w:val="00C33EB2"/>
    <w:rsid w:val="00C62C88"/>
    <w:rsid w:val="00C727D2"/>
    <w:rsid w:val="00C7347B"/>
    <w:rsid w:val="00C8429B"/>
    <w:rsid w:val="00CA6BF3"/>
    <w:rsid w:val="00CB7622"/>
    <w:rsid w:val="00CC031C"/>
    <w:rsid w:val="00CC3064"/>
    <w:rsid w:val="00CC415B"/>
    <w:rsid w:val="00CC7413"/>
    <w:rsid w:val="00CC7C62"/>
    <w:rsid w:val="00CD0AEC"/>
    <w:rsid w:val="00D02C85"/>
    <w:rsid w:val="00D053C0"/>
    <w:rsid w:val="00D0782B"/>
    <w:rsid w:val="00D10BD4"/>
    <w:rsid w:val="00D21A31"/>
    <w:rsid w:val="00D21B7B"/>
    <w:rsid w:val="00D21F26"/>
    <w:rsid w:val="00D304A8"/>
    <w:rsid w:val="00D36294"/>
    <w:rsid w:val="00D40495"/>
    <w:rsid w:val="00D4543A"/>
    <w:rsid w:val="00D477BD"/>
    <w:rsid w:val="00D51CD1"/>
    <w:rsid w:val="00D52E1F"/>
    <w:rsid w:val="00D54D8A"/>
    <w:rsid w:val="00D57FC8"/>
    <w:rsid w:val="00D65B1D"/>
    <w:rsid w:val="00D7468F"/>
    <w:rsid w:val="00D747DD"/>
    <w:rsid w:val="00D8128E"/>
    <w:rsid w:val="00DA2B60"/>
    <w:rsid w:val="00DB28DA"/>
    <w:rsid w:val="00DB60EB"/>
    <w:rsid w:val="00DB6C1B"/>
    <w:rsid w:val="00DD233A"/>
    <w:rsid w:val="00DE0B06"/>
    <w:rsid w:val="00DE1B7B"/>
    <w:rsid w:val="00DE1F28"/>
    <w:rsid w:val="00DE29AF"/>
    <w:rsid w:val="00DF4163"/>
    <w:rsid w:val="00E34131"/>
    <w:rsid w:val="00E36D7C"/>
    <w:rsid w:val="00E50D20"/>
    <w:rsid w:val="00E60BE7"/>
    <w:rsid w:val="00E61C5D"/>
    <w:rsid w:val="00E63925"/>
    <w:rsid w:val="00E63AC7"/>
    <w:rsid w:val="00E665CE"/>
    <w:rsid w:val="00E8286B"/>
    <w:rsid w:val="00E82D27"/>
    <w:rsid w:val="00E85501"/>
    <w:rsid w:val="00EA319D"/>
    <w:rsid w:val="00EC52B6"/>
    <w:rsid w:val="00EC593D"/>
    <w:rsid w:val="00EC760F"/>
    <w:rsid w:val="00EE7C81"/>
    <w:rsid w:val="00EF379A"/>
    <w:rsid w:val="00EF5EAB"/>
    <w:rsid w:val="00F07B4F"/>
    <w:rsid w:val="00F166A0"/>
    <w:rsid w:val="00F31572"/>
    <w:rsid w:val="00F31A18"/>
    <w:rsid w:val="00F346D5"/>
    <w:rsid w:val="00F3717C"/>
    <w:rsid w:val="00F41A78"/>
    <w:rsid w:val="00F54B04"/>
    <w:rsid w:val="00F559EC"/>
    <w:rsid w:val="00F57B19"/>
    <w:rsid w:val="00F73367"/>
    <w:rsid w:val="00F831AA"/>
    <w:rsid w:val="00F86245"/>
    <w:rsid w:val="00F90C81"/>
    <w:rsid w:val="00F9586F"/>
    <w:rsid w:val="00F95FCE"/>
    <w:rsid w:val="00FA518C"/>
    <w:rsid w:val="00FB026C"/>
    <w:rsid w:val="00FB0408"/>
    <w:rsid w:val="00FB4957"/>
    <w:rsid w:val="00FC0BA8"/>
    <w:rsid w:val="00FC59B6"/>
    <w:rsid w:val="00FC77D2"/>
    <w:rsid w:val="00FD5D1E"/>
    <w:rsid w:val="00FE289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FABA3"/>
  <w15:chartTrackingRefBased/>
  <w15:docId w15:val="{FD224F45-C3A5-4275-9AFA-56824333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D98"/>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77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77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77D9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77D9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77D9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77D9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7D9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7D9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7D9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7D9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77D9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77D9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77D9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77D9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77D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7D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7D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7D98"/>
    <w:rPr>
      <w:rFonts w:eastAsiaTheme="majorEastAsia" w:cstheme="majorBidi"/>
      <w:color w:val="272727" w:themeColor="text1" w:themeTint="D8"/>
    </w:rPr>
  </w:style>
  <w:style w:type="paragraph" w:styleId="Titre">
    <w:name w:val="Title"/>
    <w:basedOn w:val="Normal"/>
    <w:next w:val="Normal"/>
    <w:link w:val="TitreCar"/>
    <w:uiPriority w:val="10"/>
    <w:qFormat/>
    <w:rsid w:val="00477D9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7D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7D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7D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7D98"/>
    <w:pPr>
      <w:spacing w:before="160"/>
      <w:jc w:val="center"/>
    </w:pPr>
    <w:rPr>
      <w:i/>
      <w:iCs/>
      <w:color w:val="404040" w:themeColor="text1" w:themeTint="BF"/>
    </w:rPr>
  </w:style>
  <w:style w:type="character" w:customStyle="1" w:styleId="CitationCar">
    <w:name w:val="Citation Car"/>
    <w:basedOn w:val="Policepardfaut"/>
    <w:link w:val="Citation"/>
    <w:uiPriority w:val="29"/>
    <w:rsid w:val="00477D98"/>
    <w:rPr>
      <w:i/>
      <w:iCs/>
      <w:color w:val="404040" w:themeColor="text1" w:themeTint="BF"/>
    </w:rPr>
  </w:style>
  <w:style w:type="paragraph" w:styleId="Paragraphedeliste">
    <w:name w:val="List Paragraph"/>
    <w:basedOn w:val="Normal"/>
    <w:uiPriority w:val="34"/>
    <w:qFormat/>
    <w:rsid w:val="00477D98"/>
    <w:pPr>
      <w:ind w:left="720"/>
      <w:contextualSpacing/>
    </w:pPr>
  </w:style>
  <w:style w:type="character" w:styleId="Accentuationintense">
    <w:name w:val="Intense Emphasis"/>
    <w:basedOn w:val="Policepardfaut"/>
    <w:uiPriority w:val="21"/>
    <w:qFormat/>
    <w:rsid w:val="00477D98"/>
    <w:rPr>
      <w:i/>
      <w:iCs/>
      <w:color w:val="2F5496" w:themeColor="accent1" w:themeShade="BF"/>
    </w:rPr>
  </w:style>
  <w:style w:type="paragraph" w:styleId="Citationintense">
    <w:name w:val="Intense Quote"/>
    <w:basedOn w:val="Normal"/>
    <w:next w:val="Normal"/>
    <w:link w:val="CitationintenseCar"/>
    <w:uiPriority w:val="30"/>
    <w:qFormat/>
    <w:rsid w:val="00477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77D98"/>
    <w:rPr>
      <w:i/>
      <w:iCs/>
      <w:color w:val="2F5496" w:themeColor="accent1" w:themeShade="BF"/>
    </w:rPr>
  </w:style>
  <w:style w:type="character" w:styleId="Rfrenceintense">
    <w:name w:val="Intense Reference"/>
    <w:basedOn w:val="Policepardfaut"/>
    <w:uiPriority w:val="32"/>
    <w:qFormat/>
    <w:rsid w:val="00477D98"/>
    <w:rPr>
      <w:b/>
      <w:bCs/>
      <w:smallCaps/>
      <w:color w:val="2F5496" w:themeColor="accent1" w:themeShade="BF"/>
      <w:spacing w:val="5"/>
    </w:rPr>
  </w:style>
  <w:style w:type="paragraph" w:styleId="En-tte">
    <w:name w:val="header"/>
    <w:basedOn w:val="Normal"/>
    <w:link w:val="En-tteCar"/>
    <w:rsid w:val="00477D98"/>
    <w:pPr>
      <w:tabs>
        <w:tab w:val="center" w:pos="4536"/>
        <w:tab w:val="right" w:pos="9072"/>
      </w:tabs>
    </w:pPr>
  </w:style>
  <w:style w:type="character" w:customStyle="1" w:styleId="En-tteCar">
    <w:name w:val="En-tête Car"/>
    <w:basedOn w:val="Policepardfaut"/>
    <w:link w:val="En-tte"/>
    <w:rsid w:val="00477D98"/>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477D98"/>
    <w:pPr>
      <w:tabs>
        <w:tab w:val="center" w:pos="4536"/>
        <w:tab w:val="right" w:pos="9072"/>
      </w:tabs>
    </w:pPr>
  </w:style>
  <w:style w:type="character" w:customStyle="1" w:styleId="PieddepageCar">
    <w:name w:val="Pied de page Car"/>
    <w:basedOn w:val="Policepardfaut"/>
    <w:link w:val="Pieddepage"/>
    <w:uiPriority w:val="99"/>
    <w:rsid w:val="00477D98"/>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477D98"/>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477D98"/>
    <w:rPr>
      <w:i/>
      <w:iCs/>
    </w:rPr>
  </w:style>
  <w:style w:type="paragraph" w:customStyle="1" w:styleId="Default">
    <w:name w:val="Default"/>
    <w:rsid w:val="00A94A5E"/>
    <w:pPr>
      <w:autoSpaceDE w:val="0"/>
      <w:autoSpaceDN w:val="0"/>
      <w:adjustRightInd w:val="0"/>
      <w:spacing w:after="0" w:line="240" w:lineRule="auto"/>
    </w:pPr>
    <w:rPr>
      <w:rFonts w:ascii="Verdana" w:hAnsi="Verdana" w:cs="Verdana"/>
      <w:color w:val="000000"/>
      <w:kern w:val="0"/>
    </w:rPr>
  </w:style>
  <w:style w:type="paragraph" w:styleId="NormalWeb">
    <w:name w:val="Normal (Web)"/>
    <w:basedOn w:val="Normal"/>
    <w:uiPriority w:val="99"/>
    <w:semiHidden/>
    <w:unhideWhenUsed/>
    <w:rsid w:val="001F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4187">
      <w:bodyDiv w:val="1"/>
      <w:marLeft w:val="0"/>
      <w:marRight w:val="0"/>
      <w:marTop w:val="0"/>
      <w:marBottom w:val="0"/>
      <w:divBdr>
        <w:top w:val="none" w:sz="0" w:space="0" w:color="auto"/>
        <w:left w:val="none" w:sz="0" w:space="0" w:color="auto"/>
        <w:bottom w:val="none" w:sz="0" w:space="0" w:color="auto"/>
        <w:right w:val="none" w:sz="0" w:space="0" w:color="auto"/>
      </w:divBdr>
    </w:div>
    <w:div w:id="213397293">
      <w:bodyDiv w:val="1"/>
      <w:marLeft w:val="0"/>
      <w:marRight w:val="0"/>
      <w:marTop w:val="0"/>
      <w:marBottom w:val="0"/>
      <w:divBdr>
        <w:top w:val="none" w:sz="0" w:space="0" w:color="auto"/>
        <w:left w:val="none" w:sz="0" w:space="0" w:color="auto"/>
        <w:bottom w:val="none" w:sz="0" w:space="0" w:color="auto"/>
        <w:right w:val="none" w:sz="0" w:space="0" w:color="auto"/>
      </w:divBdr>
      <w:divsChild>
        <w:div w:id="615986167">
          <w:blockQuote w:val="1"/>
          <w:marLeft w:val="720"/>
          <w:marRight w:val="720"/>
          <w:marTop w:val="100"/>
          <w:marBottom w:val="100"/>
          <w:divBdr>
            <w:top w:val="none" w:sz="0" w:space="0" w:color="auto"/>
            <w:left w:val="none" w:sz="0" w:space="0" w:color="auto"/>
            <w:bottom w:val="none" w:sz="0" w:space="0" w:color="auto"/>
            <w:right w:val="none" w:sz="0" w:space="0" w:color="auto"/>
          </w:divBdr>
        </w:div>
        <w:div w:id="34964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4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814840">
      <w:bodyDiv w:val="1"/>
      <w:marLeft w:val="0"/>
      <w:marRight w:val="0"/>
      <w:marTop w:val="0"/>
      <w:marBottom w:val="0"/>
      <w:divBdr>
        <w:top w:val="none" w:sz="0" w:space="0" w:color="auto"/>
        <w:left w:val="none" w:sz="0" w:space="0" w:color="auto"/>
        <w:bottom w:val="none" w:sz="0" w:space="0" w:color="auto"/>
        <w:right w:val="none" w:sz="0" w:space="0" w:color="auto"/>
      </w:divBdr>
    </w:div>
    <w:div w:id="751662587">
      <w:bodyDiv w:val="1"/>
      <w:marLeft w:val="0"/>
      <w:marRight w:val="0"/>
      <w:marTop w:val="0"/>
      <w:marBottom w:val="0"/>
      <w:divBdr>
        <w:top w:val="none" w:sz="0" w:space="0" w:color="auto"/>
        <w:left w:val="none" w:sz="0" w:space="0" w:color="auto"/>
        <w:bottom w:val="none" w:sz="0" w:space="0" w:color="auto"/>
        <w:right w:val="none" w:sz="0" w:space="0" w:color="auto"/>
      </w:divBdr>
    </w:div>
    <w:div w:id="785269746">
      <w:bodyDiv w:val="1"/>
      <w:marLeft w:val="0"/>
      <w:marRight w:val="0"/>
      <w:marTop w:val="0"/>
      <w:marBottom w:val="0"/>
      <w:divBdr>
        <w:top w:val="none" w:sz="0" w:space="0" w:color="auto"/>
        <w:left w:val="none" w:sz="0" w:space="0" w:color="auto"/>
        <w:bottom w:val="none" w:sz="0" w:space="0" w:color="auto"/>
        <w:right w:val="none" w:sz="0" w:space="0" w:color="auto"/>
      </w:divBdr>
    </w:div>
    <w:div w:id="909731205">
      <w:bodyDiv w:val="1"/>
      <w:marLeft w:val="0"/>
      <w:marRight w:val="0"/>
      <w:marTop w:val="0"/>
      <w:marBottom w:val="0"/>
      <w:divBdr>
        <w:top w:val="none" w:sz="0" w:space="0" w:color="auto"/>
        <w:left w:val="none" w:sz="0" w:space="0" w:color="auto"/>
        <w:bottom w:val="none" w:sz="0" w:space="0" w:color="auto"/>
        <w:right w:val="none" w:sz="0" w:space="0" w:color="auto"/>
      </w:divBdr>
    </w:div>
    <w:div w:id="1054084415">
      <w:bodyDiv w:val="1"/>
      <w:marLeft w:val="0"/>
      <w:marRight w:val="0"/>
      <w:marTop w:val="0"/>
      <w:marBottom w:val="0"/>
      <w:divBdr>
        <w:top w:val="none" w:sz="0" w:space="0" w:color="auto"/>
        <w:left w:val="none" w:sz="0" w:space="0" w:color="auto"/>
        <w:bottom w:val="none" w:sz="0" w:space="0" w:color="auto"/>
        <w:right w:val="none" w:sz="0" w:space="0" w:color="auto"/>
      </w:divBdr>
    </w:div>
    <w:div w:id="1173568332">
      <w:bodyDiv w:val="1"/>
      <w:marLeft w:val="0"/>
      <w:marRight w:val="0"/>
      <w:marTop w:val="0"/>
      <w:marBottom w:val="0"/>
      <w:divBdr>
        <w:top w:val="none" w:sz="0" w:space="0" w:color="auto"/>
        <w:left w:val="none" w:sz="0" w:space="0" w:color="auto"/>
        <w:bottom w:val="none" w:sz="0" w:space="0" w:color="auto"/>
        <w:right w:val="none" w:sz="0" w:space="0" w:color="auto"/>
      </w:divBdr>
    </w:div>
    <w:div w:id="1293370199">
      <w:bodyDiv w:val="1"/>
      <w:marLeft w:val="0"/>
      <w:marRight w:val="0"/>
      <w:marTop w:val="0"/>
      <w:marBottom w:val="0"/>
      <w:divBdr>
        <w:top w:val="none" w:sz="0" w:space="0" w:color="auto"/>
        <w:left w:val="none" w:sz="0" w:space="0" w:color="auto"/>
        <w:bottom w:val="none" w:sz="0" w:space="0" w:color="auto"/>
        <w:right w:val="none" w:sz="0" w:space="0" w:color="auto"/>
      </w:divBdr>
    </w:div>
    <w:div w:id="1380475844">
      <w:bodyDiv w:val="1"/>
      <w:marLeft w:val="0"/>
      <w:marRight w:val="0"/>
      <w:marTop w:val="0"/>
      <w:marBottom w:val="0"/>
      <w:divBdr>
        <w:top w:val="none" w:sz="0" w:space="0" w:color="auto"/>
        <w:left w:val="none" w:sz="0" w:space="0" w:color="auto"/>
        <w:bottom w:val="none" w:sz="0" w:space="0" w:color="auto"/>
        <w:right w:val="none" w:sz="0" w:space="0" w:color="auto"/>
      </w:divBdr>
    </w:div>
    <w:div w:id="1432699592">
      <w:bodyDiv w:val="1"/>
      <w:marLeft w:val="0"/>
      <w:marRight w:val="0"/>
      <w:marTop w:val="0"/>
      <w:marBottom w:val="0"/>
      <w:divBdr>
        <w:top w:val="none" w:sz="0" w:space="0" w:color="auto"/>
        <w:left w:val="none" w:sz="0" w:space="0" w:color="auto"/>
        <w:bottom w:val="none" w:sz="0" w:space="0" w:color="auto"/>
        <w:right w:val="none" w:sz="0" w:space="0" w:color="auto"/>
      </w:divBdr>
    </w:div>
    <w:div w:id="1584757036">
      <w:bodyDiv w:val="1"/>
      <w:marLeft w:val="0"/>
      <w:marRight w:val="0"/>
      <w:marTop w:val="0"/>
      <w:marBottom w:val="0"/>
      <w:divBdr>
        <w:top w:val="none" w:sz="0" w:space="0" w:color="auto"/>
        <w:left w:val="none" w:sz="0" w:space="0" w:color="auto"/>
        <w:bottom w:val="none" w:sz="0" w:space="0" w:color="auto"/>
        <w:right w:val="none" w:sz="0" w:space="0" w:color="auto"/>
      </w:divBdr>
    </w:div>
    <w:div w:id="1648893962">
      <w:bodyDiv w:val="1"/>
      <w:marLeft w:val="0"/>
      <w:marRight w:val="0"/>
      <w:marTop w:val="0"/>
      <w:marBottom w:val="0"/>
      <w:divBdr>
        <w:top w:val="none" w:sz="0" w:space="0" w:color="auto"/>
        <w:left w:val="none" w:sz="0" w:space="0" w:color="auto"/>
        <w:bottom w:val="none" w:sz="0" w:space="0" w:color="auto"/>
        <w:right w:val="none" w:sz="0" w:space="0" w:color="auto"/>
      </w:divBdr>
    </w:div>
    <w:div w:id="1690985871">
      <w:bodyDiv w:val="1"/>
      <w:marLeft w:val="0"/>
      <w:marRight w:val="0"/>
      <w:marTop w:val="0"/>
      <w:marBottom w:val="0"/>
      <w:divBdr>
        <w:top w:val="none" w:sz="0" w:space="0" w:color="auto"/>
        <w:left w:val="none" w:sz="0" w:space="0" w:color="auto"/>
        <w:bottom w:val="none" w:sz="0" w:space="0" w:color="auto"/>
        <w:right w:val="none" w:sz="0" w:space="0" w:color="auto"/>
      </w:divBdr>
    </w:div>
    <w:div w:id="1741707266">
      <w:bodyDiv w:val="1"/>
      <w:marLeft w:val="0"/>
      <w:marRight w:val="0"/>
      <w:marTop w:val="0"/>
      <w:marBottom w:val="0"/>
      <w:divBdr>
        <w:top w:val="none" w:sz="0" w:space="0" w:color="auto"/>
        <w:left w:val="none" w:sz="0" w:space="0" w:color="auto"/>
        <w:bottom w:val="none" w:sz="0" w:space="0" w:color="auto"/>
        <w:right w:val="none" w:sz="0" w:space="0" w:color="auto"/>
      </w:divBdr>
    </w:div>
    <w:div w:id="2007631800">
      <w:bodyDiv w:val="1"/>
      <w:marLeft w:val="0"/>
      <w:marRight w:val="0"/>
      <w:marTop w:val="0"/>
      <w:marBottom w:val="0"/>
      <w:divBdr>
        <w:top w:val="none" w:sz="0" w:space="0" w:color="auto"/>
        <w:left w:val="none" w:sz="0" w:space="0" w:color="auto"/>
        <w:bottom w:val="none" w:sz="0" w:space="0" w:color="auto"/>
        <w:right w:val="none" w:sz="0" w:space="0" w:color="auto"/>
      </w:divBdr>
      <w:divsChild>
        <w:div w:id="1405303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366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236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pn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png"/><Relationship Id="rId46" Type="http://schemas.openxmlformats.org/officeDocument/2006/relationships/theme" Target="theme/theme1.xml"/><Relationship Id="rId20" Type="http://schemas.openxmlformats.org/officeDocument/2006/relationships/image" Target="media/image10.jpeg"/><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1.png"/></Relationships>
</file>

<file path=word/_rels/header3.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0525-E81F-434F-86BC-3460D611099E}"/>
</file>

<file path=customXml/itemProps2.xml><?xml version="1.0" encoding="utf-8"?>
<ds:datastoreItem xmlns:ds="http://schemas.openxmlformats.org/officeDocument/2006/customXml" ds:itemID="{A70B5FFC-2829-4039-BB84-D002DA5B66BA}">
  <ds:schemaRefs>
    <ds:schemaRef ds:uri="http://schemas.microsoft.com/sharepoint/v3/contenttype/forms"/>
  </ds:schemaRefs>
</ds:datastoreItem>
</file>

<file path=customXml/itemProps3.xml><?xml version="1.0" encoding="utf-8"?>
<ds:datastoreItem xmlns:ds="http://schemas.openxmlformats.org/officeDocument/2006/customXml" ds:itemID="{AE058A96-4728-49D3-809C-9D3C6159B632}">
  <ds:schemaRefs>
    <ds:schemaRef ds:uri="http://schemas.microsoft.com/office/2006/metadata/properties"/>
    <ds:schemaRef ds:uri="http://schemas.microsoft.com/office/infopath/2007/PartnerControls"/>
    <ds:schemaRef ds:uri="e18a9318-9106-4af9-a620-0f815afcbd6e"/>
    <ds:schemaRef ds:uri="ba876131-d830-4a26-b3c4-81ea0c5aea84"/>
    <ds:schemaRef ds:uri="http://schemas.microsoft.com/sharepoint/v3"/>
  </ds:schemaRefs>
</ds:datastoreItem>
</file>

<file path=customXml/itemProps4.xml><?xml version="1.0" encoding="utf-8"?>
<ds:datastoreItem xmlns:ds="http://schemas.openxmlformats.org/officeDocument/2006/customXml" ds:itemID="{AFB262E8-5194-4BFA-9C7F-76D1D9EB9BE5}">
  <ds:schemaRefs>
    <ds:schemaRef ds:uri="http://schemas.openxmlformats.org/officeDocument/2006/bibliography"/>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5864</Words>
  <Characters>33431</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PLOVIE</dc:creator>
  <cp:keywords/>
  <dc:description/>
  <cp:lastModifiedBy>Damien PLOVIE</cp:lastModifiedBy>
  <cp:revision>81</cp:revision>
  <dcterms:created xsi:type="dcterms:W3CDTF">2025-09-29T05:26:00Z</dcterms:created>
  <dcterms:modified xsi:type="dcterms:W3CDTF">2026-04-08T18:22:00Z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Enabled">
    <vt:lpwstr>true</vt:lpwstr>
  </property>
  <property fmtid="{D5CDD505-2E9C-101B-9397-08002B2CF9AE}" pid="3" name="MSIP_Label_0d8cad6c-9ab5-4995-adbc-1936d45cc877_SetDate">
    <vt:lpwstr>2025-08-06T12:50:50Z</vt:lpwstr>
  </property>
  <property fmtid="{D5CDD505-2E9C-101B-9397-08002B2CF9AE}" pid="4" name="MSIP_Label_0d8cad6c-9ab5-4995-adbc-1936d45cc877_Method">
    <vt:lpwstr>Standard</vt:lpwstr>
  </property>
  <property fmtid="{D5CDD505-2E9C-101B-9397-08002B2CF9AE}" pid="5" name="MSIP_Label_0d8cad6c-9ab5-4995-adbc-1936d45cc877_Name">
    <vt:lpwstr>0d8cad6c-9ab5-4995-adbc-1936d45cc877</vt:lpwstr>
  </property>
  <property fmtid="{D5CDD505-2E9C-101B-9397-08002B2CF9AE}" pid="6" name="MSIP_Label_0d8cad6c-9ab5-4995-adbc-1936d45cc877_SiteId">
    <vt:lpwstr>9f6513af-b5bf-4193-ba55-a22f3f083010</vt:lpwstr>
  </property>
  <property fmtid="{D5CDD505-2E9C-101B-9397-08002B2CF9AE}" pid="7" name="MSIP_Label_0d8cad6c-9ab5-4995-adbc-1936d45cc877_ActionId">
    <vt:lpwstr>b6fdf301-188d-435d-95bf-6345623756e3</vt:lpwstr>
  </property>
  <property fmtid="{D5CDD505-2E9C-101B-9397-08002B2CF9AE}" pid="8" name="MSIP_Label_0d8cad6c-9ab5-4995-adbc-1936d45cc877_ContentBits">
    <vt:lpwstr>0</vt:lpwstr>
  </property>
  <property fmtid="{D5CDD505-2E9C-101B-9397-08002B2CF9AE}" pid="9" name="MSIP_Label_0d8cad6c-9ab5-4995-adbc-1936d45cc877_Tag">
    <vt:lpwstr>10, 3, 0, 1</vt:lpwstr>
  </property>
  <property fmtid="{D5CDD505-2E9C-101B-9397-08002B2CF9AE}" pid="10" name="ContentTypeId">
    <vt:lpwstr>0x010100F3236DEA28EF3A41BAAEE42DC4B6006A</vt:lpwstr>
  </property>
  <property fmtid="{D5CDD505-2E9C-101B-9397-08002B2CF9AE}" pid="11" name="MediaServiceImageTags">
    <vt:lpwstr/>
  </property>
</Properties>
</file>